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001-36622</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PROQR THERAPEUTICS N.V.</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Zernikedreef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2333 CK Leiden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25, 2026, ProQR Therapeutics N.V. (the “Company”) entered into an underwriting agreement (the “Underwriting Agreement”) with BofA Securities, Inc., Evercore Group L.L.C. and Cantor Fitzgerald &amp; Co., as representatives of the several underwriters named therein (collectively, the “Underwriters”), relating to an underwritten registered direct offering (the “Offering”) of 27,624,310 ordinary shares (the “Shares”) of the Company. The offering price of the Shares to the investors was $1.81 per share (the “Offering Price”), and the Underwriters agreed to purchase the Shares from the Company pursuant to the Underwriting Agreement at the Offering Price, less underwriting discounts and commissions.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Shares were issued pursuant to the Company’s shelf registration statement (the “Registration Statement”) on Form F-3 (Registration Statement No. 333-282419) previously filed with the Securities and Exchange Commission (the “Commission”) on September 30, 2024 and declared effective by the Commission on October 10, 2024. The Offering was made only by means of a prospectus supplement, along with a base prospectus, that form a part of the Registration Statement. The closing of the Offering is expected to occur on June 26, 2026, subject to the satisfaction of customary closing conditions.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aggregate net proceeds from the Offering were approximately $46.5 million, after deducting the underwriting discounts and commissions and estimated offering expenses payable by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and warranties, agreements and obligations, conditions to closing and termination provisions. The Underwriting Agreement provides for indemnification by the Underwriters of the Company, its directors and certain of its executive officers, and by the Company of the Underwriters, for certain liabilities, including liabilities arising under the Securities Act of 1933, as amended (the “Securities Act”), and affords certain rights of contribution with respect thereto.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Underwriting Agreement is qualified in its entirety by reference to the Underwriting Agreement, a copy of which is attached as Exhibit 1.1 hereto and incorporated by reference herein. The representations, warranties and covenants contained in the Underwriting Agreement were made only for purposes of such agreements and as of specific dates, were solely for the benefit of the parties to such agreement, and may be subject to limitations agreed upon by the contracting parties.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copy of the legal opinion of Allen Overy Shearman Sterling LLP, the Company’s Netherlands counsel, relating to the legality and validity of the Shares is filed as Exhibit 5.1 to this Report of Foreign Private Issuer on Form 6-K, which is filed with reference to, and is hereby incorporated by reference into, the Registration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Purchase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Concurrently with the Offering, the Company entered into a Share Purchase Agreement (the “Share Purchase Agreement”) with Eli Lilly and Company (“Lilly”) on June 25, 2026, in a separately negotiated transaction pursuant to which the Company agreed to offer and sell to Lilly, and Lilly has agreed to purchase, 5,100,780 ordinary shares of the Company (the “Lilly Shares”) at a price per share equal to the Offering Price, for an aggregate purchase price of approximately $9.2 million (the “Private Placement”). The closing of the Private Placement is expected to occur on June 26, 2026, subject to the consummation of the Offering and the satisfaction of other customary closing conditions.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Share Purchase Agreement contains customary representations, warranties, and covenants of each party. Pursuant to the terms of the Share Purchase Agreement, Lilly may not, subject to certain limited exceptions, dispose of any of the Lilly Shares for a period commencing on the Closing Date (as defined therein) until the earlier of (i) the date that is six (6) months after the Closing Date and (ii) the date that the Amended and Restated Collaboration Agreement (as defined therein) is terminated. Additionally, under the Share Purchase Agreement, Lilly may participate in certain public offerings or private placements of the Company’s ordinary shares, subject to share ownership requirements and other limitations set forth in the Share Purchase Agreement. The Company has also granted Lilly certain customary registration rights with respect to the Lilly Shares, including registering such shares for resale on or prior to the expiration of the lockup agreement described above. Lilly has also agreed to a standstill on acquiring additional shares of the Company and proposing certain transactions to the Company or its shareholders, all on the terms, and subject to the exceptions, contained in the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Share Purchase Agreement is qualified in its entirety by reference to the Share Purchase Agreement, a copy of which is attached as Exhibit 10.1 hereto and incorporated by reference herein. The representations, warranties and covenants contained in the Share Purchase Agreement were made only for purposes of such agreements and as of specific dates, were solely for the benefit of the parties to such agreement, and may be subject to limitations agreed upon by the contracting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 of Equity Securities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described in the section titled “</w:t>
      </w:r>
      <w:r>
        <w:rPr>
          <w:rFonts w:ascii="Times New Roman" w:cs="Times New Roman" w:eastAsia="Times New Roman" w:hAnsi="Times New Roman"/>
          <w:sz w:val="18"/>
          <w:szCs w:val="18"/>
          <w:i w:val="1"/>
          <w:iCs w:val="1"/>
          <w:color w:val="auto"/>
        </w:rPr>
        <w:t>Share Purchase Agreement</w:t>
      </w:r>
      <w:r>
        <w:rPr>
          <w:rFonts w:ascii="Times New Roman" w:cs="Times New Roman" w:eastAsia="Times New Roman" w:hAnsi="Times New Roman"/>
          <w:sz w:val="18"/>
          <w:szCs w:val="18"/>
          <w:color w:val="auto"/>
        </w:rPr>
        <w:t>” in this Report of Foreign Private Issuer on Form 6-K, which is incorporated in this section by reference, the Lilly Shares were issued in a private placement exempt from registration pursuant to Section 4(a)(2) of the Securities Act, or Regulation D promulgated thereunder, as a transaction by an issuer not involving a public offering. The Company relied on this exemption from registration based in part on the representations made by Lilly, including that it was acquiring the Lilly Shares for the purpose of investment and not with a view to resale or distribution of any part thereof in violation of the Securities Act, and an appropriate legend will be applied to the Lilly Shares. The Lilly Shares have not been registered under the Securities Act or any state securities laws and may not be offered or sold in the United States absent registration under the Securities Act or an applicable exemption from the registration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25, 2026, the Company issued a press release announcing the Offering and Private Placement. A copy of the press release is attached as Exhibit 99.1 hereto and is hereby incorporated by reference herein.</w:t>
      </w:r>
    </w:p>
    <w:p>
      <w:pPr>
        <w:spacing w:after="0" w:line="162" w:lineRule="exact"/>
        <w:rPr>
          <w:sz w:val="20"/>
          <w:szCs w:val="20"/>
          <w:color w:val="auto"/>
        </w:rPr>
      </w:pPr>
    </w:p>
    <w:p>
      <w:pPr>
        <w:jc w:val="both"/>
        <w:ind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hereby incorporates by reference the information contained herein into the Company’s registration statements on Form F-3 (File No. </w:t>
      </w:r>
      <w:hyperlink r:id="rId14">
        <w:r>
          <w:rPr>
            <w:rFonts w:ascii="Times New Roman" w:cs="Times New Roman" w:eastAsia="Times New Roman" w:hAnsi="Times New Roman"/>
            <w:sz w:val="18"/>
            <w:szCs w:val="18"/>
            <w:u w:val="single" w:color="auto"/>
            <w:color w:val="0000EE"/>
          </w:rPr>
          <w:t>333-282419</w:t>
        </w:r>
      </w:hyperlink>
      <w:r>
        <w:rPr>
          <w:rFonts w:ascii="Times New Roman" w:cs="Times New Roman" w:eastAsia="Times New Roman" w:hAnsi="Times New Roman"/>
          <w:sz w:val="18"/>
          <w:szCs w:val="18"/>
          <w:color w:val="auto"/>
        </w:rPr>
        <w:t xml:space="preserve">, File No. </w:t>
      </w:r>
      <w:hyperlink r:id="rId15">
        <w:r>
          <w:rPr>
            <w:rFonts w:ascii="Times New Roman" w:cs="Times New Roman" w:eastAsia="Times New Roman" w:hAnsi="Times New Roman"/>
            <w:sz w:val="18"/>
            <w:szCs w:val="18"/>
            <w:u w:val="single" w:color="auto"/>
            <w:color w:val="0000EE"/>
          </w:rPr>
          <w:t>333-270943</w:t>
        </w:r>
      </w:hyperlink>
      <w:r>
        <w:rPr>
          <w:rFonts w:ascii="Times New Roman" w:cs="Times New Roman" w:eastAsia="Times New Roman" w:hAnsi="Times New Roman"/>
          <w:sz w:val="18"/>
          <w:szCs w:val="18"/>
          <w:color w:val="auto"/>
        </w:rPr>
        <w:t xml:space="preserve">, File No. </w:t>
      </w:r>
      <w:hyperlink r:id="rId16">
        <w:r>
          <w:rPr>
            <w:rFonts w:ascii="Times New Roman" w:cs="Times New Roman" w:eastAsia="Times New Roman" w:hAnsi="Times New Roman"/>
            <w:sz w:val="18"/>
            <w:szCs w:val="18"/>
            <w:u w:val="single" w:color="auto"/>
            <w:color w:val="0000EE"/>
          </w:rPr>
          <w:t>333-263166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File No. </w:t>
      </w:r>
      <w:hyperlink r:id="rId17">
        <w:r>
          <w:rPr>
            <w:rFonts w:ascii="Times New Roman" w:cs="Times New Roman" w:eastAsia="Times New Roman" w:hAnsi="Times New Roman"/>
            <w:sz w:val="18"/>
            <w:szCs w:val="18"/>
            <w:u w:val="single" w:color="auto"/>
            <w:color w:val="0000EE"/>
          </w:rPr>
          <w:t>333-285767</w:t>
        </w:r>
      </w:hyperlink>
      <w:r>
        <w:rPr>
          <w:rFonts w:ascii="Times New Roman" w:cs="Times New Roman" w:eastAsia="Times New Roman" w:hAnsi="Times New Roman"/>
          <w:sz w:val="18"/>
          <w:szCs w:val="18"/>
          <w:color w:val="auto"/>
        </w:rPr>
        <w: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6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3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60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EE"/>
              </w:rPr>
              <w:t>Underwriting Agreement, dated June 25, 2026, among the Company and BofA Securities, Inc., Evercore Group L.L.C. and Cantor</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Fitzgerald &amp; Co.</w:t>
            </w:r>
          </w:p>
        </w:tc>
        <w:tc>
          <w:tcPr>
            <w:tcW w:w="8880" w:type="dxa"/>
            <w:vAlign w:val="bottom"/>
            <w:tcBorders>
              <w:top w:val="single" w:sz="8" w:color="0000EE"/>
            </w:tcBorders>
            <w:gridSpan w:val="5"/>
          </w:tcPr>
          <w:p>
            <w:pPr>
              <w:spacing w:after="0"/>
              <w:rPr>
                <w:sz w:val="17"/>
                <w:szCs w:val="17"/>
                <w:color w:val="auto"/>
              </w:rPr>
            </w:pPr>
          </w:p>
        </w:tc>
      </w:tr>
      <w:tr>
        <w:trPr>
          <w:trHeight w:val="412"/>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Opinion of Allen Overy Shearman Sterling LLP.</w:t>
            </w:r>
          </w:p>
        </w:tc>
        <w:tc>
          <w:tcPr>
            <w:tcW w:w="6600" w:type="dxa"/>
            <w:vAlign w:val="bottom"/>
            <w:gridSpan w:val="4"/>
          </w:tcPr>
          <w:p>
            <w:pPr>
              <w:spacing w:after="0"/>
              <w:rPr>
                <w:sz w:val="24"/>
                <w:szCs w:val="24"/>
                <w:color w:val="auto"/>
              </w:rPr>
            </w:pP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Share Purchase Agreement, dated June 25, 2026, between the Company and Eli Lilly and Company.</w:t>
            </w:r>
          </w:p>
        </w:tc>
        <w:tc>
          <w:tcPr>
            <w:tcW w:w="2880" w:type="dxa"/>
            <w:vAlign w:val="bottom"/>
          </w:tcPr>
          <w:p>
            <w:pPr>
              <w:spacing w:after="0"/>
              <w:rPr>
                <w:sz w:val="24"/>
                <w:szCs w:val="24"/>
                <w:color w:val="auto"/>
              </w:rPr>
            </w:pPr>
          </w:p>
        </w:tc>
      </w:tr>
      <w:tr>
        <w:trPr>
          <w:trHeight w:val="41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Allen Overy Shearman Sterling LLP (included in Exhibit 5.1).</w:t>
            </w:r>
          </w:p>
        </w:tc>
      </w:tr>
      <w:tr>
        <w:trPr>
          <w:trHeight w:val="412"/>
        </w:trPr>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Press Release of ProQR Therapeutics N.V. dated June 25, 2026.</w:t>
            </w:r>
          </w:p>
        </w:tc>
        <w:tc>
          <w:tcPr>
            <w:tcW w:w="4780" w:type="dxa"/>
            <w:vAlign w:val="bottom"/>
            <w:gridSpan w:val="2"/>
          </w:tcPr>
          <w:p>
            <w:pPr>
              <w:spacing w:after="0"/>
              <w:rPr>
                <w:sz w:val="24"/>
                <w:szCs w:val="24"/>
                <w:color w:val="auto"/>
              </w:rPr>
            </w:pPr>
          </w:p>
        </w:tc>
      </w:tr>
      <w:tr>
        <w:trPr>
          <w:trHeight w:val="696"/>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top w:val="single" w:sz="8" w:color="0000EE"/>
              <w:bottom w:val="single" w:sz="8" w:color="auto"/>
            </w:tcBorders>
          </w:tcPr>
          <w:p>
            <w:pPr>
              <w:spacing w:after="0"/>
              <w:rPr>
                <w:sz w:val="24"/>
                <w:szCs w:val="24"/>
                <w:color w:val="auto"/>
              </w:rPr>
            </w:pPr>
          </w:p>
        </w:tc>
        <w:tc>
          <w:tcPr>
            <w:tcW w:w="2280" w:type="dxa"/>
            <w:vAlign w:val="bottom"/>
            <w:tcBorders>
              <w:top w:val="single" w:sz="8" w:color="0000EE"/>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PROQR THERAPEUTICS N.V.</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Dennis Hom</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Dennis Hom</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ProQR Therapeutics N.V.</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27,624,310 Ordinary Shares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u w:val="single" w:color="auto"/>
          <w:color w:val="auto"/>
        </w:rPr>
        <w:t>UNDERWRITING AGREEMENT</w:t>
      </w:r>
    </w:p>
    <w:p>
      <w:pPr>
        <w:spacing w:after="0" w:line="23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Dated: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ProQR Therapeutics N.V.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27,624,310 Ordinary Shares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25,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Evercore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East 52nd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East 59th Street,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ProQR Therapeutics N.V.,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with BofA Securities, Inc. (“</w:t>
      </w:r>
      <w:r>
        <w:rPr>
          <w:rFonts w:ascii="Times New Roman" w:cs="Times New Roman" w:eastAsia="Times New Roman" w:hAnsi="Times New Roman"/>
          <w:sz w:val="18"/>
          <w:szCs w:val="18"/>
          <w:u w:val="single" w:color="auto"/>
          <w:color w:val="auto"/>
        </w:rPr>
        <w:t>BofA</w:t>
      </w:r>
      <w:r>
        <w:rPr>
          <w:rFonts w:ascii="Times New Roman" w:cs="Times New Roman" w:eastAsia="Times New Roman" w:hAnsi="Times New Roman"/>
          <w:sz w:val="18"/>
          <w:szCs w:val="18"/>
          <w:color w:val="auto"/>
        </w:rPr>
        <w:t>”), Evercore Group L.L.C. (“</w:t>
      </w:r>
      <w:r>
        <w:rPr>
          <w:rFonts w:ascii="Times New Roman" w:cs="Times New Roman" w:eastAsia="Times New Roman" w:hAnsi="Times New Roman"/>
          <w:sz w:val="18"/>
          <w:szCs w:val="18"/>
          <w:u w:val="single" w:color="auto"/>
          <w:color w:val="auto"/>
        </w:rPr>
        <w:t>Evercore</w:t>
      </w:r>
      <w:r>
        <w:rPr>
          <w:rFonts w:ascii="Times New Roman" w:cs="Times New Roman" w:eastAsia="Times New Roman" w:hAnsi="Times New Roman"/>
          <w:sz w:val="18"/>
          <w:szCs w:val="18"/>
          <w:color w:val="auto"/>
        </w:rPr>
        <w:t>”), Cantor Fitzgerald &amp; Co. (“</w:t>
      </w:r>
      <w:r>
        <w:rPr>
          <w:rFonts w:ascii="Times New Roman" w:cs="Times New Roman" w:eastAsia="Times New Roman" w:hAnsi="Times New Roman"/>
          <w:sz w:val="18"/>
          <w:szCs w:val="18"/>
          <w:u w:val="single" w:color="auto"/>
          <w:color w:val="auto"/>
        </w:rPr>
        <w:t>Cantor</w:t>
      </w:r>
      <w:r>
        <w:rPr>
          <w:rFonts w:ascii="Times New Roman" w:cs="Times New Roman" w:eastAsia="Times New Roman" w:hAnsi="Times New Roman"/>
          <w:sz w:val="18"/>
          <w:szCs w:val="18"/>
          <w:color w:val="auto"/>
        </w:rPr>
        <w:t xml:space="preserve">”) and each of the other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which term shall also include any underwriter substituted as hereinafter provided in Section 10 hereof), for whom BofA, Evercore and Cantor are acting as representatives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with respect to the sale by the Company and the purchase by the Underwriters, acting severally and not jointly, of the respective numbers of ordinary shares, nominal value €0.04 per ordinary share, of the Company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xml:space="preserv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References in this Agreement to Securities being sold by the Company or purchased from the Company (and the corollary uses of those concepts) should be understood to refer to those Securities being issued or granted by the Company and subscribed for from the Company, respectively. Similarly, references in this Agreement to Securities being delivered should be understood to refer to those Securities being issued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an offering of the Securities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as soon as the Representatives deem advisable after this Agreement has been executed and delivered in accordance with the Registration Statement (as defined below).</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shelf registration statement on Form F-3 (No. 333-282419), including a base prospectus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to be used in connection with the offering and sale of the Securities. Such registration statement including the financial statements, exhibits and schedules thereto, in the form in which it was declared effective under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and the rules and regulations thereunder (the “</w:t>
      </w:r>
      <w:r>
        <w:rPr>
          <w:rFonts w:ascii="Times New Roman" w:cs="Times New Roman" w:eastAsia="Times New Roman" w:hAnsi="Times New Roman"/>
          <w:sz w:val="18"/>
          <w:szCs w:val="18"/>
          <w:u w:val="single" w:color="auto"/>
          <w:color w:val="auto"/>
        </w:rPr>
        <w:t>1933 Act Regulations</w:t>
      </w:r>
      <w:r>
        <w:rPr>
          <w:rFonts w:ascii="Times New Roman" w:cs="Times New Roman" w:eastAsia="Times New Roman" w:hAnsi="Times New Roman"/>
          <w:sz w:val="18"/>
          <w:szCs w:val="18"/>
          <w:color w:val="auto"/>
        </w:rPr>
        <w:t>”) by the Commission on October 10, 2024 and all documents incorporated or deemed to be incorporated by reference therein and any information deemed to be a part thereof at the time of effectiveness pursuant to Rule 430B under the 1933 Act, is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Any registration statement filed by the Company pursuant to Rule 462(b) of the 1933 Act Regulations in connection with the offer and sale of the Securities is called the “</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and from and after the date and time of filing of any such Rule 462(b) Registration Statement the term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include the Rule 462(b) Registration Statement.</w:t>
      </w:r>
    </w:p>
    <w:p>
      <w:pPr>
        <w:spacing w:after="0" w:line="1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Base Prospectus and any other prospectus supplement to the Base Prospectus in preliminary form that describes the Securities and the offering thereof and is used prior to the filing of the Prospectus (as defined below), together with the Base Prospectus, is called a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If no preliminary prospectus supplement is filed and distributed to investors in connection with the offering, the “preliminary prospectus” shall be deemed to be the prospectus included in the Registration Statement (including any documents incorporated therein by reference) as such as been filed with the Commission at the Applicable Time.</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final prospectus supplement to the Base Prospectus that describes the Securities and the offering thereof (the “</w:t>
      </w:r>
      <w:r>
        <w:rPr>
          <w:rFonts w:ascii="Times New Roman" w:cs="Times New Roman" w:eastAsia="Times New Roman" w:hAnsi="Times New Roman"/>
          <w:sz w:val="18"/>
          <w:szCs w:val="18"/>
          <w:u w:val="single" w:color="auto"/>
          <w:color w:val="auto"/>
        </w:rPr>
        <w:t>Final Prospectus Supplement</w:t>
      </w:r>
      <w:r>
        <w:rPr>
          <w:rFonts w:ascii="Times New Roman" w:cs="Times New Roman" w:eastAsia="Times New Roman" w:hAnsi="Times New Roman"/>
          <w:sz w:val="18"/>
          <w:szCs w:val="18"/>
          <w:color w:val="auto"/>
        </w:rPr>
        <w:t>”), together with the Base Prospectus, in the form first used by the Underwriters to confirm sales of the Securities or in the form first made available to the Underwriters by the Company to meet requests of purchasers pursuant to Rule 173 under the 1933 Act. References herein to any preliminary prospectus and the Prospectus shall refer to both the prospectus supplement and the Base Prospectus components of such prospectus. For purposes of this Agreement, all references to the Base Prospectus, Registration Statement, any preliminary prospectus, the Prospectus or any amendment or supplement to any of the foregoing shall (i) be deemed to mean and include any document subsequently filed under the 1934 Act (as defined below) which is incorporated by reference or deemed to be incorporated by reference therein or otherwise deemed by the 1933 Act Regulations to be a part thereof and (ii) be deemed to include the copy filed with the Commission pursuant to its Electronic Data Gathering, Analysis and Retrieval system or any successor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“1934 Act” means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7"/>
          <w:szCs w:val="17"/>
          <w:color w:val="auto"/>
        </w:rPr>
        <w:t>“Applicable Time” means 6:32 a.m., New York City time, on June 25, 2026 or such other time as agreed by the Company and the Representatives.</w:t>
      </w:r>
    </w:p>
    <w:p>
      <w:pPr>
        <w:spacing w:after="0" w:line="237"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 xml:space="preserve">“General Disclosure Package” means any Issuer General Use Free Writing Prospectuses issued at or prior to the Applicable Time, any preliminary prospectus that is distributed to investors prior to the Applicable Time and the information included on </w:t>
      </w:r>
      <w:r>
        <w:rPr>
          <w:rFonts w:ascii="Times New Roman" w:cs="Times New Roman" w:eastAsia="Times New Roman" w:hAnsi="Times New Roman"/>
          <w:sz w:val="17"/>
          <w:szCs w:val="17"/>
          <w:u w:val="single" w:color="auto"/>
          <w:color w:val="auto"/>
        </w:rPr>
        <w:t>Schedule B-1</w:t>
      </w:r>
      <w:r>
        <w:rPr>
          <w:rFonts w:ascii="Times New Roman" w:cs="Times New Roman" w:eastAsia="Times New Roman" w:hAnsi="Times New Roman"/>
          <w:sz w:val="17"/>
          <w:szCs w:val="17"/>
          <w:color w:val="auto"/>
        </w:rPr>
        <w:t xml:space="preserve"> hereto, all considered together.</w:t>
      </w:r>
    </w:p>
    <w:p>
      <w:pPr>
        <w:spacing w:after="0" w:line="14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“Group” means the Company and each of the Company’s “subsidiaries” (for purposes of this Agreement, as defined in Rule 405 of the 1933 Act Regulations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“Issuer Free Writing Prospectus” means any “issuer free writing prospectus,” as defined in Rule 433 of the 1933 Act Regulations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including without limitation any “free writing prospectus” (as defined in Rule 405)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8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“Issuer General Use Free Writing Prospectus” means any Issuer Free Writing Prospectus that is intended for general distribution to prospective investors (other than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electronic road show,” as defined in Rule 433 (a “</w:t>
      </w:r>
      <w:r>
        <w:rPr>
          <w:rFonts w:ascii="Times New Roman" w:cs="Times New Roman" w:eastAsia="Times New Roman" w:hAnsi="Times New Roman"/>
          <w:sz w:val="18"/>
          <w:szCs w:val="18"/>
          <w:u w:val="single" w:color="auto"/>
          <w:color w:val="auto"/>
        </w:rPr>
        <w:t>Bona Fide Electronic Road Show</w:t>
      </w:r>
      <w:r>
        <w:rPr>
          <w:rFonts w:ascii="Times New Roman" w:cs="Times New Roman" w:eastAsia="Times New Roman" w:hAnsi="Times New Roman"/>
          <w:sz w:val="18"/>
          <w:szCs w:val="18"/>
          <w:color w:val="auto"/>
        </w:rPr>
        <w:t xml:space="preserve">”)), as evidenced by its being specified in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“Issuer Limited Use Free Writing Prospectus” means any Issuer Free Writing Prospectus that is not an Issuer General Use Free Writing Prospectus.</w:t>
      </w:r>
    </w:p>
    <w:p>
      <w:pPr>
        <w:spacing w:after="0" w:line="162"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“Rule 430B Information” means documents and information deemed to be a part of or included in the Registration Statement pursuant to Rule 430B of the 1933 Act Regulations.</w:t>
      </w:r>
    </w:p>
    <w:p>
      <w:pPr>
        <w:spacing w:after="0" w:line="16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Representations and Warranties</w:t>
      </w:r>
    </w:p>
    <w:p>
      <w:pPr>
        <w:spacing w:after="0" w:line="223" w:lineRule="exact"/>
        <w:rPr>
          <w:sz w:val="20"/>
          <w:szCs w:val="20"/>
          <w:color w:val="auto"/>
        </w:rPr>
      </w:pPr>
    </w:p>
    <w:p>
      <w:pPr>
        <w:ind w:right="140" w:firstLine="656"/>
        <w:spacing w:after="0" w:line="284" w:lineRule="auto"/>
        <w:tabs>
          <w:tab w:leader="none" w:pos="138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Company</w:t>
      </w:r>
      <w:r>
        <w:rPr>
          <w:rFonts w:ascii="Times New Roman" w:cs="Times New Roman" w:eastAsia="Times New Roman" w:hAnsi="Times New Roman"/>
          <w:sz w:val="18"/>
          <w:szCs w:val="18"/>
          <w:color w:val="auto"/>
        </w:rPr>
        <w:t>. The Company represents and warrants to each Underwriter as of the date hereof,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Time and the Closing Time (as defined below), and agrees with each Underwriter, as follows:</w:t>
      </w:r>
    </w:p>
    <w:p>
      <w:pPr>
        <w:spacing w:after="0" w:line="160" w:lineRule="exact"/>
        <w:rPr>
          <w:rFonts w:ascii="Times New Roman" w:cs="Times New Roman" w:eastAsia="Times New Roman" w:hAnsi="Times New Roman"/>
          <w:sz w:val="18"/>
          <w:szCs w:val="18"/>
          <w:color w:val="auto"/>
        </w:rPr>
      </w:pPr>
    </w:p>
    <w:p>
      <w:pPr>
        <w:ind w:right="80" w:firstLine="1304"/>
        <w:spacing w:after="0" w:line="258" w:lineRule="auto"/>
        <w:tabs>
          <w:tab w:leader="none" w:pos="1556"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Each of the Registration Statement and any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threatened. The Company has complied in all material respects with each request (if any) from the Commission for additional information.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Each of the Registration Statement and any post-effective amendment thereto, at the time it became effective,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the Offering and the Prospectus was or will be identical to the electronically transmitted copies thereof filed with the Commission pursuant to EDGAR, except to the extent permitted by Regulation S-T.</w:t>
      </w:r>
    </w:p>
    <w:p>
      <w:pPr>
        <w:spacing w:after="0" w:line="18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meets the applicable requirements for use of Form F-3 under the 1933 Act. The Company is a “foreign private issuer” within the meaning of Rule 405 under the 1933 Act.</w:t>
      </w:r>
    </w:p>
    <w:p>
      <w:pPr>
        <w:spacing w:after="0" w:line="162"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documents incorporated or deemed to be incorporated by reference in the Registration Statement, any preliminary prospectus and the Prospectus, when they became effective or at the time they were or hereafter are filed with the Commission, complied and will comply in all material respects with the requirements of the 1934 Act.</w:t>
      </w:r>
    </w:p>
    <w:p>
      <w:pPr>
        <w:spacing w:after="0" w:line="176" w:lineRule="exact"/>
        <w:rPr>
          <w:sz w:val="20"/>
          <w:szCs w:val="20"/>
          <w:color w:val="auto"/>
        </w:rPr>
      </w:pPr>
    </w:p>
    <w:p>
      <w:pPr>
        <w:ind w:right="20" w:firstLine="1304"/>
        <w:spacing w:after="0" w:line="253" w:lineRule="auto"/>
        <w:tabs>
          <w:tab w:leader="none" w:pos="160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Each preliminary prospectus and the Prospectus when filed complied in all material respects with the 1933 Act and, if filed by electronic transmission pursuant to EDGAR, was identical (except as may be permitted by Regulation S-T under the 1933 Act) to the copy thereof delivered to the Underwriters for use in connection with the offer and sale of the Securities. Neither the Registration Statement nor any post-effective amendment thereto, at its effective time, at the Closing Time, contained, contains or will contain an untrue statement of a material fact or omitted, omits or will omit to state a material fact required to be stated therein or necessary to make the statements therein not misleading. As of the Applicable Time and the Closing Time, neither (A) the General Disclosure Package nor (B) any individual Issuer Limited Use Free Writing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9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the General Disclosure Package or the Prospectus (or any amendment or supplement thereto, including any prospectus wrapper) made in reliance upon and in conformity with written information furnished to the Company by any Underwriter through the Representatives expressly for use therein. For purposes of this Agreement, the only information so furnished shall be the information in the first paragraph under the heading “Underwriting —Commissions and Discounts,” the information in the second, third and fourth paragraphs under the heading “Underwriting—Price Stabilization and Short Positions” and the information under the heading “Underwriting—Electronic Distribution” in each case contained in the Prospectus (collectively, the “</w:t>
      </w:r>
      <w:r>
        <w:rPr>
          <w:rFonts w:ascii="Times New Roman" w:cs="Times New Roman" w:eastAsia="Times New Roman" w:hAnsi="Times New Roman"/>
          <w:sz w:val="18"/>
          <w:szCs w:val="18"/>
          <w:u w:val="single" w:color="auto"/>
          <w:color w:val="auto"/>
        </w:rPr>
        <w:t>Underwriter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 w:name="page11"/>
    <w:bookmarkEnd w:id="10"/>
    <w:p>
      <w:pPr>
        <w:ind w:left="-40" w:right="120" w:firstLine="1304"/>
        <w:spacing w:after="0" w:line="312" w:lineRule="auto"/>
        <w:tabs>
          <w:tab w:leader="none" w:pos="1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Issuer Free Writing Prospectuses</w:t>
      </w:r>
      <w:r>
        <w:rPr>
          <w:rFonts w:ascii="Times New Roman" w:cs="Times New Roman" w:eastAsia="Times New Roman" w:hAnsi="Times New Roman"/>
          <w:sz w:val="17"/>
          <w:szCs w:val="17"/>
          <w:color w:val="auto"/>
        </w:rPr>
        <w:t>. No Issuer Free Writing Prospectus conflicts or will conflict with the information contained in the Registration Statement or the Prospectus, and any preliminary or other prospectus deemed to be a part thereof that has not been superseded or modified.</w:t>
      </w:r>
    </w:p>
    <w:p>
      <w:pPr>
        <w:spacing w:after="0" w:line="139" w:lineRule="exact"/>
        <w:rPr>
          <w:rFonts w:ascii="Times New Roman" w:cs="Times New Roman" w:eastAsia="Times New Roman" w:hAnsi="Times New Roman"/>
          <w:sz w:val="17"/>
          <w:szCs w:val="17"/>
          <w:color w:val="auto"/>
        </w:rPr>
      </w:pPr>
    </w:p>
    <w:p>
      <w:pPr>
        <w:ind w:left="-40" w:right="80" w:firstLine="1304"/>
        <w:spacing w:after="0" w:line="258" w:lineRule="auto"/>
        <w:tabs>
          <w:tab w:leader="none" w:pos="16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Ineligible Issuer</w:t>
      </w:r>
      <w:r>
        <w:rPr>
          <w:rFonts w:ascii="Times New Roman" w:cs="Times New Roman" w:eastAsia="Times New Roman" w:hAnsi="Times New Roman"/>
          <w:sz w:val="18"/>
          <w:szCs w:val="18"/>
          <w:color w:val="auto"/>
        </w:rPr>
        <w:t xml:space="preserve">. At the time of filing the Registration Statement and any post-effective amendment thereto, at the earliest time thereafter that the Company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of the 1933 Act Regulations) of the Securities and at the time this Agreement is executed and delivered by the parties hereto, the Company was not and is not an “ineligible issuer,” as defined in Rule 405, without taking account of any determination by the Commission pursuant to Rule 405 that it is not necessary that the Company be considered an ineligible issuer.</w:t>
      </w:r>
    </w:p>
    <w:p>
      <w:pPr>
        <w:spacing w:after="0" w:line="183" w:lineRule="exact"/>
        <w:rPr>
          <w:rFonts w:ascii="Times New Roman" w:cs="Times New Roman" w:eastAsia="Times New Roman" w:hAnsi="Times New Roman"/>
          <w:sz w:val="18"/>
          <w:szCs w:val="18"/>
          <w:color w:val="auto"/>
        </w:rPr>
      </w:pPr>
    </w:p>
    <w:p>
      <w:pPr>
        <w:ind w:left="-40" w:right="140" w:firstLine="1304"/>
        <w:spacing w:after="0" w:line="266" w:lineRule="auto"/>
        <w:tabs>
          <w:tab w:leader="none" w:pos="15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KPMG Accountants N.V., the accountants who certified the annual financial statements and supporting schedules, if any, incorporated into the Registration Statement, the General Disclosure Package and the Prospectus, are independent public accountants as required by the 1933 Act, the 1933 Act Regulations and the Public Company Accounting Oversight Board.</w:t>
      </w:r>
    </w:p>
    <w:p>
      <w:pPr>
        <w:spacing w:after="0" w:line="175" w:lineRule="exact"/>
        <w:rPr>
          <w:rFonts w:ascii="Times New Roman" w:cs="Times New Roman" w:eastAsia="Times New Roman" w:hAnsi="Times New Roman"/>
          <w:sz w:val="18"/>
          <w:szCs w:val="18"/>
          <w:color w:val="auto"/>
        </w:rPr>
      </w:pPr>
    </w:p>
    <w:p>
      <w:pPr>
        <w:ind w:left="-40" w:right="20" w:firstLine="1304"/>
        <w:spacing w:after="0" w:line="253" w:lineRule="auto"/>
        <w:tabs>
          <w:tab w:leader="none" w:pos="16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included in the Registration Statement, the General Disclosure Package and the Prospectus, together with the related schedules and notes, present fairly, the financial position of the Company at the dates indicated and the statement of operations,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and cash flows of the Company for the periods specified; said financial statements have been prepared in conformity with International Financial Reporting Standards (“</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as issued by the International Accounting Standards Board (“</w:t>
      </w:r>
      <w:r>
        <w:rPr>
          <w:rFonts w:ascii="Times New Roman" w:cs="Times New Roman" w:eastAsia="Times New Roman" w:hAnsi="Times New Roman"/>
          <w:sz w:val="18"/>
          <w:szCs w:val="18"/>
          <w:u w:val="single" w:color="auto"/>
          <w:color w:val="auto"/>
        </w:rPr>
        <w:t>IASB</w:t>
      </w:r>
      <w:r>
        <w:rPr>
          <w:rFonts w:ascii="Times New Roman" w:cs="Times New Roman" w:eastAsia="Times New Roman" w:hAnsi="Times New Roman"/>
          <w:sz w:val="18"/>
          <w:szCs w:val="18"/>
          <w:color w:val="auto"/>
        </w:rPr>
        <w:t>”) applied on a consistent basis throughout the periods involved, except in the case of unaudited, interim financial statements, subject to normal year-end audit adjustments and the exclusion of certain footnotes. The supporting schedules, if any, present fairly in accordance with IFRS the information required to be stated therein. The summary financial data included in the Registration Statement, the General Disclosure Package and the Prospectus present fairly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w:t>
      </w:r>
    </w:p>
    <w:p>
      <w:pPr>
        <w:spacing w:after="0" w:line="194" w:lineRule="exact"/>
        <w:rPr>
          <w:rFonts w:ascii="Times New Roman" w:cs="Times New Roman" w:eastAsia="Times New Roman" w:hAnsi="Times New Roman"/>
          <w:sz w:val="18"/>
          <w:szCs w:val="18"/>
          <w:color w:val="auto"/>
        </w:rPr>
      </w:pPr>
    </w:p>
    <w:p>
      <w:pPr>
        <w:ind w:left="-40" w:firstLine="1304"/>
        <w:spacing w:after="0" w:line="254" w:lineRule="auto"/>
        <w:tabs>
          <w:tab w:leader="none" w:pos="16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properties or prospects of the Company and its subsidiaries, taken as a whole, whether or not arising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(B) there have been no transactions entered into by the Company, other than those in the ordinary course of business, which are material with respect to the Company (other than the expected issuance and sale by the Company in a private placement to occur concurrently with the Offering of the Securities contemplated hereby to Eli Lilly and Company described in the Registration Statement, the General Disclosure Package and the Prospectus), and (C) there has been no dividend or distribution of any kind declared, paid or made by the Company on any class of its share capital.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11" w:name="page12"/>
    <w:bookmarkEnd w:id="11"/>
    <w:p>
      <w:pPr>
        <w:ind w:left="-20" w:firstLine="1304"/>
        <w:spacing w:after="0" w:line="256" w:lineRule="auto"/>
        <w:tabs>
          <w:tab w:leader="none" w:pos="17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has been duly incorporated and is validly existing as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the laws of the Netherlands and has the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to transact business and is in good standing (where such concept exists) in each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ind w:left="-20" w:right="40" w:firstLine="1304"/>
        <w:spacing w:after="0" w:line="255" w:lineRule="auto"/>
        <w:tabs>
          <w:tab w:leader="none" w:pos="16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and issued share capital and outstanding shares in the capital of the Company are as set forth in the Registration Statement, the General Disclosure Package and the Prospectus under the caption “Capitalization” (except for subsequent issuances, if any, pursuant to this Agreement, pursuant to reservations, agreements or employee benefit plans referred to in the Registration Statement, the General Disclosure Package and the Prospectus or pursuant to the exercise of convertible securities or options referred to in the Registration Statement, the General Disclosure Package and the Prospectus). All of the ordinary shares in the capital of the Company existing as of the date of this Agreement have been duly authorized and validly issued and are fully paid. None of the outstanding shares in the capital of the Company were issued in violation of the preemptive or other similar rights of any shareholder of the Company.</w:t>
      </w:r>
    </w:p>
    <w:p>
      <w:pPr>
        <w:spacing w:after="0" w:line="188" w:lineRule="exact"/>
        <w:rPr>
          <w:rFonts w:ascii="Times New Roman" w:cs="Times New Roman" w:eastAsia="Times New Roman" w:hAnsi="Times New Roman"/>
          <w:sz w:val="18"/>
          <w:szCs w:val="18"/>
          <w:color w:val="auto"/>
        </w:rPr>
      </w:pPr>
    </w:p>
    <w:p>
      <w:pPr>
        <w:ind w:left="-20" w:right="60" w:firstLine="1304"/>
        <w:spacing w:after="0" w:line="253" w:lineRule="auto"/>
        <w:tabs>
          <w:tab w:leader="none" w:pos="15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Each of the Company’s “subsidiaries” (for purposes of this Agreement, as defined in Rule 405 under the 1933 Act) has been duly organized and is validly existing in good standing (where such concept exists) under the laws of the jurisdiction of its organization and has the power and authority to own, lease and operate its properties and to conduct its business as described in the Registration Statement, the General Disclosure Package and the Prospectus. Each of the Company’s subsidiaries is duly qualified to transact business and is in good standing (where such concept exists) in each jurisdiction in which such qualification is required, whether by reason of the ownership or leasing of property or the conduct of business, except where failure to be so qualified or in good standing could not reasonably be expected, individually or in the aggregate, to have a Material Adverse Effect. All of the issued and outstanding share capital or other equity or ownership interests of each of the Company’s subsidiaries has been duly authorized and validly issued, is fully paid and nonassessable (where such concept exists) and is owned by the Company, directly or through subsidiaries, free and clear of any security interest, mortgage, pledge, lien, encumbrance or adverse claim. The Company does not own or control, directly or indirectly, any corporation, association or other entity other than the subsidiaries listed in or on an exhibit to the Registration Statement.</w:t>
      </w:r>
    </w:p>
    <w:p>
      <w:pPr>
        <w:spacing w:after="0" w:line="1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(xi)</w:t>
      </w: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12" w:name="page13"/>
    <w:bookmarkEnd w:id="12"/>
    <w:p>
      <w:pPr>
        <w:ind w:left="-40" w:firstLine="1304"/>
        <w:spacing w:after="0" w:line="255" w:lineRule="auto"/>
        <w:tabs>
          <w:tab w:leader="none" w:pos="16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the issuance of the Securities is not subject to any preemptive or other similar rights. The Ordinary Shares conform, in all material respects, to all statements relating thereto contained in the Registration Statement, the General Disclosure Package and the Prospectus and such description conforms, in all material respects, to the rights set forth in the instruments defining the same. No holder of Securities will be subject to personal liability by reason of being such a holder, except for being subject to pay up the Securities acquired by them in full.</w:t>
      </w:r>
    </w:p>
    <w:p>
      <w:pPr>
        <w:spacing w:after="0" w:line="188" w:lineRule="exact"/>
        <w:rPr>
          <w:rFonts w:ascii="Times New Roman" w:cs="Times New Roman" w:eastAsia="Times New Roman" w:hAnsi="Times New Roman"/>
          <w:sz w:val="18"/>
          <w:szCs w:val="18"/>
          <w:color w:val="auto"/>
        </w:rPr>
      </w:pPr>
    </w:p>
    <w:p>
      <w:pPr>
        <w:ind w:left="-40" w:right="140" w:firstLine="1304"/>
        <w:spacing w:after="0" w:line="266" w:lineRule="auto"/>
        <w:tabs>
          <w:tab w:leader="none" w:pos="17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w:t>
      </w:r>
    </w:p>
    <w:p>
      <w:pPr>
        <w:spacing w:after="0" w:line="175" w:lineRule="exact"/>
        <w:rPr>
          <w:rFonts w:ascii="Times New Roman" w:cs="Times New Roman" w:eastAsia="Times New Roman" w:hAnsi="Times New Roman"/>
          <w:sz w:val="18"/>
          <w:szCs w:val="18"/>
          <w:color w:val="auto"/>
        </w:rPr>
      </w:pPr>
    </w:p>
    <w:p>
      <w:pPr>
        <w:ind w:left="-40" w:right="20" w:firstLine="1304"/>
        <w:spacing w:after="0" w:line="252" w:lineRule="auto"/>
        <w:tabs>
          <w:tab w:leader="none" w:pos="16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Defaults and Conflicts</w:t>
      </w:r>
      <w:r>
        <w:rPr>
          <w:rFonts w:ascii="Times New Roman" w:cs="Times New Roman" w:eastAsia="Times New Roman" w:hAnsi="Times New Roman"/>
          <w:sz w:val="18"/>
          <w:szCs w:val="18"/>
          <w:color w:val="auto"/>
        </w:rPr>
        <w:t>. The Group is not (A) in violation of its articles of association, (B) in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properties or assets of the Company is subject (collectively, “</w:t>
      </w:r>
      <w:r>
        <w:rPr>
          <w:rFonts w:ascii="Times New Roman" w:cs="Times New Roman" w:eastAsia="Times New Roman" w:hAnsi="Times New Roman"/>
          <w:sz w:val="18"/>
          <w:szCs w:val="18"/>
          <w:u w:val="single" w:color="auto"/>
          <w:color w:val="auto"/>
        </w:rPr>
        <w:t>Agreements and Instruments</w:t>
      </w:r>
      <w:r>
        <w:rPr>
          <w:rFonts w:ascii="Times New Roman" w:cs="Times New Roman" w:eastAsia="Times New Roman" w:hAnsi="Times New Roman"/>
          <w:sz w:val="18"/>
          <w:szCs w:val="18"/>
          <w:color w:val="auto"/>
        </w:rPr>
        <w:t>”), except, in the case of (B), for such defaults as would not, singly or in the aggregate, reasonably be expected to result in a Material Adverse Effect, or (C) in violation of any law (including in the case of the Company and for the avoidance of doubt, the 1934 Act), statute, rule, regulation (including in the case of the Company and for the avoidance of doubt, the rules and regulations of the Commission under the 1934 Act (the “</w:t>
      </w:r>
      <w:r>
        <w:rPr>
          <w:rFonts w:ascii="Times New Roman" w:cs="Times New Roman" w:eastAsia="Times New Roman" w:hAnsi="Times New Roman"/>
          <w:sz w:val="18"/>
          <w:szCs w:val="18"/>
          <w:u w:val="single" w:color="auto"/>
          <w:color w:val="auto"/>
        </w:rPr>
        <w:t>1934 Act Regulations</w:t>
      </w:r>
      <w:r>
        <w:rPr>
          <w:rFonts w:ascii="Times New Roman" w:cs="Times New Roman" w:eastAsia="Times New Roman" w:hAnsi="Times New Roman"/>
          <w:sz w:val="18"/>
          <w:szCs w:val="18"/>
          <w:color w:val="auto"/>
        </w:rPr>
        <w:t>”)), judgment, order, writ or decree of any arbitrator, court, governmental body, regulatory body, administrative agency or other authority, body or agency having jurisdiction over the Group or any of its respective properties, assets or operations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except, in the case of (C), for such violations as would not, singly or in the aggregate, reasonably be expected to result in a Material Adverse Effect. The execution, delivery and performance of this Agreement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pursuant to, the Agreements and Instruments (except for such conflicts, breaches, defaults or Repayment Events or liens, charges or encumbrances as would not, singly or in the aggregate, reasonably be expected to result in a Material Adverse Effect), nor will such action result in any violation of the provisions of the articles of association of the Company or any law, statute, rule, regulation, judgment, order, writ or decree of any Governmental Entity, except for such violations as would not, singly or in the aggregate, result in a Material Adverse Effect. As used herein, a “</w:t>
      </w:r>
      <w:r>
        <w:rPr>
          <w:rFonts w:ascii="Times New Roman" w:cs="Times New Roman" w:eastAsia="Times New Roman" w:hAnsi="Times New Roman"/>
          <w:sz w:val="18"/>
          <w:szCs w:val="18"/>
          <w:u w:val="single" w:color="auto"/>
          <w:color w:val="auto"/>
        </w:rPr>
        <w:t>Repayment Event</w:t>
      </w:r>
      <w:r>
        <w:rPr>
          <w:rFonts w:ascii="Times New Roman" w:cs="Times New Roman" w:eastAsia="Times New Roman" w:hAnsi="Times New Roman"/>
          <w:sz w:val="18"/>
          <w:szCs w:val="18"/>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13" w:name="page14"/>
    <w:bookmarkEnd w:id="13"/>
    <w:p>
      <w:pPr>
        <w:ind w:left="-40" w:right="100" w:firstLine="1304"/>
        <w:spacing w:after="0" w:line="266" w:lineRule="auto"/>
        <w:tabs>
          <w:tab w:leader="none" w:pos="16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No material labor dispute with the employees of the Group exists or, to the knowledge of the Company, is imminent, and the Company is not aware of any material existing or imminent labor disturbance by the employees of any of its principal suppliers, manufacturers, customers or contractors.</w:t>
      </w:r>
    </w:p>
    <w:p>
      <w:pPr>
        <w:spacing w:after="0" w:line="175" w:lineRule="exact"/>
        <w:rPr>
          <w:rFonts w:ascii="Times New Roman" w:cs="Times New Roman" w:eastAsia="Times New Roman" w:hAnsi="Times New Roman"/>
          <w:sz w:val="18"/>
          <w:szCs w:val="18"/>
          <w:color w:val="auto"/>
        </w:rPr>
      </w:pPr>
    </w:p>
    <w:p>
      <w:pPr>
        <w:ind w:left="-40" w:right="80" w:firstLine="1304"/>
        <w:spacing w:after="0" w:line="256" w:lineRule="auto"/>
        <w:tabs>
          <w:tab w:leader="none" w:pos="16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There is no action, suit, proceeding, inquiry or investigation before or brought by any Governmental Entity now pending or, to the knowledge of the Company, threatened, against or affecting the Group, which would reasonably be expected to result in a Material Adverse Effect, or which would reasonably be expected to materially and adversely affect its respective properties or assets or the consummation of the transactions contemplated in this Agreement or the performance by the Company of its obligations hereunder; and the aggregate of all pending legal or governmental proceedings to which the Group is a party or of which its properties or assets are the subject, including ordinary routine litigation incidental to the business, if determined adversely to the Group, would not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ind w:left="-40" w:right="200" w:firstLine="1304"/>
        <w:spacing w:after="0" w:line="266" w:lineRule="auto"/>
        <w:tabs>
          <w:tab w:leader="none" w:pos="17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175" w:lineRule="exact"/>
        <w:rPr>
          <w:rFonts w:ascii="Times New Roman" w:cs="Times New Roman" w:eastAsia="Times New Roman" w:hAnsi="Times New Roman"/>
          <w:sz w:val="18"/>
          <w:szCs w:val="18"/>
          <w:color w:val="auto"/>
        </w:rPr>
      </w:pPr>
    </w:p>
    <w:p>
      <w:pPr>
        <w:ind w:left="-40" w:right="80" w:firstLine="1304"/>
        <w:spacing w:after="0" w:line="258" w:lineRule="auto"/>
        <w:tabs>
          <w:tab w:leader="none" w:pos="17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rules of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U.S. state securities laws or the rules of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0" w:firstLine="1304"/>
        <w:spacing w:after="0" w:line="252" w:lineRule="auto"/>
        <w:tabs>
          <w:tab w:leader="none" w:pos="16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Group possesses such permits, licenses, approvals, consents and other authorizations (collectively, “</w:t>
      </w:r>
      <w:r>
        <w:rPr>
          <w:rFonts w:ascii="Times New Roman" w:cs="Times New Roman" w:eastAsia="Times New Roman" w:hAnsi="Times New Roman"/>
          <w:sz w:val="18"/>
          <w:szCs w:val="18"/>
          <w:u w:val="single" w:color="auto"/>
          <w:color w:val="auto"/>
        </w:rPr>
        <w:t>Governmental Licenses</w:t>
      </w:r>
      <w:r>
        <w:rPr>
          <w:rFonts w:ascii="Times New Roman" w:cs="Times New Roman" w:eastAsia="Times New Roman" w:hAnsi="Times New Roman"/>
          <w:sz w:val="18"/>
          <w:szCs w:val="18"/>
          <w:color w:val="auto"/>
        </w:rPr>
        <w:t>”) issued by the appropriate Governmental Entities necessary to conduct the business now operated by it, including without limitation, all such permits, licenses, approvals, consents and other authorizations required by the United States Food and Drug Administration (the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the European Medicines Agency (the “</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or any other federal, state, local or foreign agencies or bodies engaged in the regulation of clinical trials, pharmaceuticals, biologics or biohazardous substances or materials, except where the failure so to possess such Governmental Licenses would not, singly or in the aggregate, reasonably be expected to result in a Material Adverse Effect. The Group is in compliance with the terms and conditions of all Governmental Licenses, except where the failure so to comply would not, singly or in the aggregate, reasonably be expected to result in a Material Adverse Effect. All of the Governmental Licenses are valid and in full force and effect, except where the invalidity of such Governmental Licenses or the failure of such Governmental Licenses to be in full force and effect would not, singly or in the aggregate, reasonably be expected to result in a Material Adverse Effect. The Group has not received any written notice of proceedings relating to the actual revocation or modification of any Governmental Licenses, which, singly or in the aggregate, if the subject of an unfavorable decision, ruling or finding, would reasonably be expected to result in a Material Adverse Effect. To the extent required by applicable laws and regulations of the FDA, the Group has submitted to the FDA an Investigational New Drug Application or amendment or supplement thereto for each clinical trial it has conducted or sponsored or is conducting or sponsoring in the United States; all such submissions, if any, were in material compliance with applicable laws and regulations when submitted and no material deficiencies have been asserted by the FDA with respect to any such submissions. To the extent required by applicable laws and regulations of countries within the European Union, the Group has submitted to the national medicinal agencies of such countries a Clinical Trial Authorization application or amendment or supplement thereto for each clinical trial it has conducted or sponsored or is conducting or sponsoring in such countries; all such submissions, if any, were in material compliance with applicable laws and regulations when submitted and no material deficiencies have been asserted by the national medicinal agencies with respect to any such submissions.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14" w:name="page15"/>
    <w:bookmarkEnd w:id="14"/>
    <w:p>
      <w:pPr>
        <w:ind w:left="-40" w:right="60" w:firstLine="1304"/>
        <w:spacing w:after="0" w:line="254" w:lineRule="auto"/>
        <w:tabs>
          <w:tab w:leader="none" w:pos="16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Group does not own real property. The Group has good and marketable title to all personal and other properties owned by it (excluding for the purpose of this Section (1)(a)(xxi), Intellectual Property (as defined below)), in each case, free and clear of all mortgages, pledges, liens, security interests, claims, restrictions or encumbrances of any kind except such as (A) are described in the Registration Statement, the General Disclosure Package and the Prospectus or (B) do not, singly or in the aggregate, materially affect the value of such property and do not materially interfere with the use made and proposed to be made of such property by the Group; and all of the leases and subleases material to the business of the Group and under which the Group holds properties described in the Registration Statement, the General Disclosure Package or the Prospectus, are in full force and effect, and the Group has no notice of any material claim of any sort that has been asserted by anyone adverse to the rights of the Group under any of the leases or subleases mentioned above, or affecting or questioning the rights of the Group to the continued possession of the leased or subleased premises under any such lease or sublease.</w:t>
      </w:r>
    </w:p>
    <w:p>
      <w:pPr>
        <w:spacing w:after="0" w:line="188" w:lineRule="exact"/>
        <w:rPr>
          <w:rFonts w:ascii="Times New Roman" w:cs="Times New Roman" w:eastAsia="Times New Roman" w:hAnsi="Times New Roman"/>
          <w:sz w:val="18"/>
          <w:szCs w:val="18"/>
          <w:color w:val="auto"/>
        </w:rPr>
      </w:pPr>
    </w:p>
    <w:p>
      <w:pPr>
        <w:ind w:left="-40" w:firstLine="1304"/>
        <w:spacing w:after="0" w:line="251" w:lineRule="auto"/>
        <w:tabs>
          <w:tab w:leader="none" w:pos="16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Group owns, or has obtained valid, binding and enforceable licenses for the right to use, patents, patent applications, inventions, copyrights, know how (including trade secrets and other unpatented and/or unpatentable proprietary or confidential information, systems or procedures), trademarks, service marks, trade names or other intellectual property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to carry on the business of the Group as now conducted and as proposed to be conducted, insofar as such Intellectual Property is described in the Registration Statement, the General Disclosure Package and the Prospectus (collectively, the “</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except where failure to own, license or have such rights would not, individually or in the aggregate, have a Material Adverse Effect; and to the knowledge of the Company, the patents, trademarks, and copyrights, if any, included within the Company Intellectual Property are valid, enforceable, and subsisting. Other than as disclosed in the Registration Statement, the General Disclosure Package and the Prospectus, (A) the Group is not obligated to pay a material royalty, grant a license, or provide other material consideration to any third party in connection with the Company Intellectual Property, (B) the Group has not received any notice of any claim of infringement, misappropriation or conflict with any Intellectual Property rights of others with respect to any of the Group’s product candidates or processes or the Company Intellectual Property, (C) to the knowledge of the Group, neither the manufacture nor the sale or use of any of the product candidates or processes of the Group referred to in the Registration Statement, the General Disclosure Package or the Prospectus do or will infringe, misappropriate or violate any existing, non-patent Intellectual Property right or any existing valid, granted patent claim of any third party, (D) to the knowledge of the Group, no third party has any ownership rights in or to any Intellectual Property that is owned by the Group and, to the knowledge of the Group, no third party has any ownership right in or to any Intellectual Property that is exclusively licensed to the Group in any field of use other than any licensor to the Group of such Intellectual Property, (E) there is no pending or, to the knowledge of the Group, threatened action, suit, proceeding or claim by others challenging the Group’s rights in or to any Company Intellectual Property, (F) to the Group’s knowledge, no employee of the Group is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Group, and (G) to the knowledge of the Group, the Group has complied with the terms of each agreement pursuant to which Intellectual Property has been licensed to the Group, except where failure to comply would not, individually or in the aggregate, have a Material Adverse Effect, and, to the knowledge of the Group, all such agreements are in full force and effect. The statements relating to the Group’s intellectual property rights contained in the Registration Statement, the General Disclosure Package and the Prospectus are complete and accurate in all material respects. The Registration Statement, the General Disclosure Package, and the Prospectus did not and do not contain any untrue statement of a material fact or omit to state a material fact required to be stated therein or necessary to make the intellectual property statements, in light of the circumstance under which they were made, not misleading.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15" w:name="page16"/>
    <w:bookmarkEnd w:id="15"/>
    <w:p>
      <w:pPr>
        <w:ind w:left="-40" w:right="60" w:firstLine="1304"/>
        <w:spacing w:after="0" w:line="272" w:lineRule="auto"/>
        <w:tabs>
          <w:tab w:leader="none" w:pos="174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Patents and Patent Applications</w:t>
      </w:r>
      <w:r>
        <w:rPr>
          <w:rFonts w:ascii="Times New Roman" w:cs="Times New Roman" w:eastAsia="Times New Roman" w:hAnsi="Times New Roman"/>
          <w:sz w:val="17"/>
          <w:szCs w:val="17"/>
          <w:color w:val="auto"/>
        </w:rPr>
        <w:t xml:space="preserve">. All patents and patent applications owned by or licensed to the Group or under which the Group has rights have, to the knowledge of the Group, been duly and properly filed and maintained; except for routine </w:t>
      </w:r>
      <w:r>
        <w:rPr>
          <w:rFonts w:ascii="Times New Roman" w:cs="Times New Roman" w:eastAsia="Times New Roman" w:hAnsi="Times New Roman"/>
          <w:sz w:val="17"/>
          <w:szCs w:val="17"/>
          <w:i w:val="1"/>
          <w:iCs w:val="1"/>
          <w:color w:val="auto"/>
        </w:rPr>
        <w:t>ex parte</w:t>
      </w:r>
      <w:r>
        <w:rPr>
          <w:rFonts w:ascii="Times New Roman" w:cs="Times New Roman" w:eastAsia="Times New Roman" w:hAnsi="Times New Roman"/>
          <w:sz w:val="17"/>
          <w:szCs w:val="17"/>
          <w:color w:val="auto"/>
        </w:rPr>
        <w:t xml:space="preserve"> patents prosecution activities before patent offices, there is no pending or, to the knowledge of the Company, threatened legal proceeding, including, but not limited to, any government or patent office proceeding, such as inter partes review, reexamination, opposition, or other patent office proceeding, in any jurisdiction challenging the validity, enforceability, or scope of any patents and/or pending patent applications owned by or licensed to the Group; to the knowledge of the Group, each individual associated with the filing and prosecution of such patents and applications has complied with their duty of candor and disclosure to the U.S. Patent and Trademark Office (the “</w:t>
      </w:r>
      <w:r>
        <w:rPr>
          <w:rFonts w:ascii="Times New Roman" w:cs="Times New Roman" w:eastAsia="Times New Roman" w:hAnsi="Times New Roman"/>
          <w:sz w:val="17"/>
          <w:szCs w:val="17"/>
          <w:u w:val="single" w:color="auto"/>
          <w:color w:val="auto"/>
        </w:rPr>
        <w:t>USPTO</w:t>
      </w:r>
      <w:r>
        <w:rPr>
          <w:rFonts w:ascii="Times New Roman" w:cs="Times New Roman" w:eastAsia="Times New Roman" w:hAnsi="Times New Roman"/>
          <w:sz w:val="17"/>
          <w:szCs w:val="17"/>
          <w:color w:val="auto"/>
        </w:rPr>
        <w:t>”) in connection with such patents and applications; and the Group is not aware of any information required to be disclosed to the USPTO that was not disclosed to the USPTO in connection with the prosecution of the aforementioned patents and applications.</w:t>
      </w:r>
    </w:p>
    <w:p>
      <w:pPr>
        <w:spacing w:after="0" w:line="171" w:lineRule="exact"/>
        <w:rPr>
          <w:rFonts w:ascii="Times New Roman" w:cs="Times New Roman" w:eastAsia="Times New Roman" w:hAnsi="Times New Roman"/>
          <w:sz w:val="17"/>
          <w:szCs w:val="17"/>
          <w:color w:val="auto"/>
        </w:rPr>
      </w:pPr>
    </w:p>
    <w:p>
      <w:pPr>
        <w:ind w:left="-40" w:firstLine="1304"/>
        <w:spacing w:after="0" w:line="253" w:lineRule="auto"/>
        <w:tabs>
          <w:tab w:leader="none" w:pos="17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would not, singly or in the aggregate, reasonably be expected to result in a Material Adverse Effect, (A) the Group is not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cs="Times New Roman" w:eastAsia="Times New Roman" w:hAnsi="Times New Roman"/>
          <w:sz w:val="18"/>
          <w:szCs w:val="18"/>
          <w:u w:val="single" w:color="auto"/>
          <w:color w:val="auto"/>
        </w:rPr>
        <w:t>Hazardous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(B) the Group has all permits, authorizations and approvals required for its operations under any applicable Environmental Laws and is in compliance with its requirements, (C) there are no pending or, to the knowledge of the Company, threatened, administrative, regulatory or judicial actions, suits, demands, demand letters, claims, liens, notices of noncompliance or violation, investigation or proceedings relating to any Environmental Law against the Group and (D) to the knowledge of the Company, there are no events or circumstances that would reasonably be expected to form the basis of an order for clean-up or remediation, or an action, suit or proceeding by any private party or Governmental Entity, against or affecting the Group relating to Hazardous Materials or any Environmental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16" w:name="page17"/>
    <w:bookmarkEnd w:id="16"/>
    <w:p>
      <w:pPr>
        <w:ind w:right="60" w:firstLine="1304"/>
        <w:spacing w:after="0" w:line="272" w:lineRule="auto"/>
        <w:tabs>
          <w:tab w:leader="none" w:pos="1826"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Accounting Controls</w:t>
      </w:r>
      <w:r>
        <w:rPr>
          <w:rFonts w:ascii="Times New Roman" w:cs="Times New Roman" w:eastAsia="Times New Roman" w:hAnsi="Times New Roman"/>
          <w:sz w:val="17"/>
          <w:szCs w:val="17"/>
          <w:color w:val="auto"/>
        </w:rPr>
        <w:t>. The Company maintains an effective system of “internal control over financial reporting” (as defined under Rule 13-a15(f) and 15d-15(f) under the 1934 Act Regulations) that complies with the requirements of the 1934 Act and a system of internal accounting controls sufficient to provide reasonable assurances that (A) transactions are executed in accordance with management’s general or specific authorization;</w:t>
      </w:r>
    </w:p>
    <w:p>
      <w:pPr>
        <w:spacing w:after="0" w:line="1" w:lineRule="exact"/>
        <w:rPr>
          <w:rFonts w:ascii="Times New Roman" w:cs="Times New Roman" w:eastAsia="Times New Roman" w:hAnsi="Times New Roman"/>
          <w:sz w:val="17"/>
          <w:szCs w:val="17"/>
          <w:color w:val="auto"/>
        </w:rPr>
      </w:pPr>
    </w:p>
    <w:p>
      <w:pPr>
        <w:ind w:right="340" w:firstLine="8"/>
        <w:spacing w:after="0" w:line="265" w:lineRule="auto"/>
        <w:tabs>
          <w:tab w:leader="none" w:pos="28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are recorded as necessary to permit preparation of financial statements in conformity with IFRS as issued by the IASB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w:t>
      </w:r>
    </w:p>
    <w:p>
      <w:pPr>
        <w:ind w:firstLine="8"/>
        <w:spacing w:after="0" w:line="252" w:lineRule="auto"/>
        <w:tabs>
          <w:tab w:leader="none" w:pos="2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XBRL included or incorporated by reference in the Registration Statement, the General Disclosure Package or the Prospectus is in compliance with the SEC’s published rules, regulations and guidelines applicable thereto. Since the end of the Company’s most recent audited fiscal year, there has been no material weakness in the Company’s internal control over financial reporting (whether or not remediated) and except as described in the Registration Statement, the General Disclosure Package and the Prospectus, there has been no change in the Company’s internal control over financial reporting that has materially adversely affected, or is reasonably likely to materially adversely affect, the Company’s internal control over financial reporting.</w:t>
      </w:r>
    </w:p>
    <w:p>
      <w:pPr>
        <w:spacing w:after="0" w:line="190"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(xxv)</w:t>
      </w:r>
      <w:r>
        <w:rPr>
          <w:rFonts w:ascii="Times New Roman" w:cs="Times New Roman" w:eastAsia="Times New Roman" w:hAnsi="Times New Roman"/>
          <w:sz w:val="18"/>
          <w:szCs w:val="18"/>
          <w:u w:val="single" w:color="auto"/>
          <w:color w:val="auto"/>
        </w:rPr>
        <w:t>Compliance with the Sarbanes-Oxley Act</w:t>
      </w:r>
      <w:r>
        <w:rPr>
          <w:rFonts w:ascii="Times New Roman" w:cs="Times New Roman" w:eastAsia="Times New Roman" w:hAnsi="Times New Roman"/>
          <w:sz w:val="18"/>
          <w:szCs w:val="18"/>
          <w:color w:val="auto"/>
        </w:rPr>
        <w:t>. The Company has taken all necessary actions to ensure that, upon the effectiveness of the Registration Statement, it will be in compliance with all provisions of the Sarbanes-Oxley Act of 2002 and all rules and regulations promulgated thereunder or implementing the provisions thereof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that are then in effect and with which the Company is required to comply as of the effectiveness of the Registration Statement, and is actively taking steps to ensure that it will be in compliance with other provisions of the Sarbanes-Oxley Act not currently in effect, upon the effectiveness of such provisions, or which will become applicable to the Company at all times after the effectiveness of the Registration Statement.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ind w:left="-40" w:right="80" w:firstLine="1304"/>
        <w:spacing w:after="0" w:line="255" w:lineRule="auto"/>
        <w:tabs>
          <w:tab w:leader="none" w:pos="17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has established “disclosure controls and procedures” (as defined in Rules 13a-15(e) and 15d-15(e) of the 1934 Act Regulations) that complies with the requirements of the 1934 Act; the Company’s “disclosure controls and procedures” are reasonably designed to ensure that all information (both financial and non-financial) required to be disclosed by the Company in the reports that it files or submits under the 1934 Act is recorded, processed, summarized and reported within the time periods specified in the rules and regulations under the 1934 Act, and that all such information will be accumulated and communicated to the Company’s management as appropriate to allow timely decisions regarding required disclosure and to make the certifications of the Chief Executive Officer and Chief Financial Officer of the Company required under the 1934 Act with respect to such reports.</w:t>
      </w:r>
    </w:p>
    <w:p>
      <w:pPr>
        <w:spacing w:after="0" w:line="188" w:lineRule="exact"/>
        <w:rPr>
          <w:rFonts w:ascii="Times New Roman" w:cs="Times New Roman" w:eastAsia="Times New Roman" w:hAnsi="Times New Roman"/>
          <w:sz w:val="18"/>
          <w:szCs w:val="18"/>
          <w:color w:val="auto"/>
        </w:rPr>
      </w:pPr>
    </w:p>
    <w:p>
      <w:pPr>
        <w:ind w:left="-40" w:firstLine="1304"/>
        <w:spacing w:after="0" w:line="253" w:lineRule="auto"/>
        <w:tabs>
          <w:tab w:leader="none" w:pos="18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Preclinical and Clinical Data and Regulatory Compliance</w:t>
      </w:r>
      <w:r>
        <w:rPr>
          <w:rFonts w:ascii="Times New Roman" w:cs="Times New Roman" w:eastAsia="Times New Roman" w:hAnsi="Times New Roman"/>
          <w:sz w:val="18"/>
          <w:szCs w:val="18"/>
          <w:color w:val="auto"/>
        </w:rPr>
        <w:t>. The preclinical tests and clinical trials that are described in, or the results of which are referred to in, the Registration Statement, the General Disclosure Package or the Prospectus (collectively, “</w:t>
      </w:r>
      <w:r>
        <w:rPr>
          <w:rFonts w:ascii="Times New Roman" w:cs="Times New Roman" w:eastAsia="Times New Roman" w:hAnsi="Times New Roman"/>
          <w:sz w:val="18"/>
          <w:szCs w:val="18"/>
          <w:u w:val="single" w:color="auto"/>
          <w:color w:val="auto"/>
        </w:rPr>
        <w:t>Studies</w:t>
      </w:r>
      <w:r>
        <w:rPr>
          <w:rFonts w:ascii="Times New Roman" w:cs="Times New Roman" w:eastAsia="Times New Roman" w:hAnsi="Times New Roman"/>
          <w:sz w:val="18"/>
          <w:szCs w:val="18"/>
          <w:color w:val="auto"/>
        </w:rPr>
        <w:t>”) were and, if still pending, are being conducted in all material respects in accordance with the protocols, procedures and controls designed and approved for such Studies and with all applicable standard medical and scientific research procedures; each description of the results of such Studies is accurate and complete in all material respects and fairly presents the data derived from such Studies; and the Company has no knowledge of any other Studies the results of which are inconsistent with, or otherwise call into question, the results described or referred to in the Registration Statement, the General Disclosure Package or the Prospectus. Except as described in the Registration Statement, the General Disclosure Package and the Prospectus, the Group has not received any written notice of, or correspondence from, any Governmental Entity requiring the termination, suspension or material modification of any Studies. The Company has operated and currently is in compliance with the United States Federal Food, Drug, and Cosmetic Act (21 U.S.C. §301 et seq.) and all applicable regulations of the FDA (collectively, the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and all applicable regulations of the EMA and other federal, state, local and foreign governmental bodies exercising comparable authority, except where the failure to so operate or be in compliance would not have a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18" w:name="page19"/>
    <w:bookmarkEnd w:id="18"/>
    <w:p>
      <w:pPr>
        <w:jc w:val="both"/>
        <w:ind w:right="80" w:firstLine="1304"/>
        <w:spacing w:after="0" w:line="270" w:lineRule="auto"/>
        <w:tabs>
          <w:tab w:leader="none" w:pos="188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Health Care Laws</w:t>
      </w:r>
      <w:r>
        <w:rPr>
          <w:rFonts w:ascii="Times New Roman" w:cs="Times New Roman" w:eastAsia="Times New Roman" w:hAnsi="Times New Roman"/>
          <w:sz w:val="17"/>
          <w:szCs w:val="17"/>
          <w:color w:val="auto"/>
        </w:rPr>
        <w:t>. The Group and its directors, officers, employees and, to the knowledge of the Company, the Group’s independent contractors and agents, are, and at all times have been, in material compliance with all applicable Health Care Laws. For purposes of this Agreement, “</w:t>
      </w:r>
      <w:r>
        <w:rPr>
          <w:rFonts w:ascii="Times New Roman" w:cs="Times New Roman" w:eastAsia="Times New Roman" w:hAnsi="Times New Roman"/>
          <w:sz w:val="17"/>
          <w:szCs w:val="17"/>
          <w:u w:val="single" w:color="auto"/>
          <w:color w:val="auto"/>
        </w:rPr>
        <w:t>Health Care Laws</w:t>
      </w:r>
      <w:r>
        <w:rPr>
          <w:rFonts w:ascii="Times New Roman" w:cs="Times New Roman" w:eastAsia="Times New Roman" w:hAnsi="Times New Roman"/>
          <w:sz w:val="17"/>
          <w:szCs w:val="17"/>
          <w:color w:val="auto"/>
        </w:rPr>
        <w:t>” means: (i) the FDCA and the Public Health Service Act (42 U.S.C. § 201 et seq.); (ii) all applicable federal, state, local and all applicable foreign health care related fraud and abuse laws, including, without limitation, the federal Anti-Kickback Statute (42 U.S.C. §</w:t>
      </w:r>
    </w:p>
    <w:p>
      <w:pPr>
        <w:spacing w:after="0" w:line="2" w:lineRule="exact"/>
        <w:rPr>
          <w:rFonts w:ascii="Times New Roman" w:cs="Times New Roman" w:eastAsia="Times New Roman" w:hAnsi="Times New Roman"/>
          <w:sz w:val="17"/>
          <w:szCs w:val="17"/>
          <w:color w:val="auto"/>
        </w:rPr>
      </w:pPr>
    </w:p>
    <w:p>
      <w:pPr>
        <w:ind w:right="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1320a-7b(b)), the federal criminal false claims law (42 U.S.C. § 1320a-7b(a)), the federal civil monetary penalties law (42 U.S.C. § 1320a-7a), the federal Civil False Claims Act (31 U.S.C. § 3729 et seq.), the exclusions law (42 U.S.C. § 1320a-7), the Physician Payments Sunshine Act ( 42 U.S.C. § 1320a-7h), federal criminal laws relating to health care fraud and abuse, including but not limited to, 18 U.S.C. §§ 286, 287 and 1349, the health care fraud criminal provisions under the Health Insurance Portability and Accountability Act of 1996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(42 U.S.C. § 1320d et seq.), and the regulations promulgated pursuant to such statutes; (iii) HIPAA as amended by the Health Information Technology for Economic and Clinical Health Act (“</w:t>
      </w:r>
      <w:r>
        <w:rPr>
          <w:rFonts w:ascii="Times New Roman" w:cs="Times New Roman" w:eastAsia="Times New Roman" w:hAnsi="Times New Roman"/>
          <w:sz w:val="18"/>
          <w:szCs w:val="18"/>
          <w:u w:val="single" w:color="auto"/>
          <w:color w:val="auto"/>
        </w:rPr>
        <w:t>HITECH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(42 U.S.C. § 17921 et seq.), each as amended, and their implementing regulations; (iv) Medicare (Title XVIII of the Social Security Act) and Medicaid (Title XIX of the Social Security Act), and the regulations promulgated pursuant to such statutes; (v) the Patient Protection and Affordable Care Act of 2010 (Public Law 111-148), as amended by the Health Care and Education Reconciliation Act of 2010 (Public Law 111-152), and the regulations promulgated thereunder; and (vi) all other local, state, federal, national, supranational and foreign health care laws relating to the regulation of the Group. The Group: (a) has not received written notice of any claim, action, suit, proceeding, hearing, enforcement, investigation, arbitration or other action from any Governmental Entity or other party alleging that any operation or activity is in violation of any Health Care Laws (collectively,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(b) has no knowledge that any Action is threatened; and (c) has no knowledge of any event or condition that would reasonably be expected to result in an Action. The Group has filed, maintained and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Group nor any of their employees, officers, directors nor, to the knowledge of the Company, the Group’s independent contractors or agents is a party to any corporate integrity agreements, plans of correction, monitoring agreements, consent decrees, settlement orders, or similar agreements with or imposed by any Governmental Entity regarding any Health Care Laws. Additionally, neither the Group nor any of their employees, officers, directors nor, to the knowledge of the Company, the Group’s independent contractors or agents has been excluded, suspended or debarred from participation in any U.S. federal health care program or human clinical research or, to the knowledge of the Group, is subject to a governmental inquiry, investigation, proceeding, or other similar action that could reasonably be expected to result in debarment, suspension, or exclusion.</w:t>
      </w:r>
    </w:p>
    <w:p>
      <w:pPr>
        <w:spacing w:after="0" w:line="205" w:lineRule="exact"/>
        <w:rPr>
          <w:rFonts w:ascii="Times New Roman" w:cs="Times New Roman" w:eastAsia="Times New Roman" w:hAnsi="Times New Roman"/>
          <w:sz w:val="17"/>
          <w:szCs w:val="17"/>
          <w:color w:val="auto"/>
        </w:rPr>
      </w:pPr>
    </w:p>
    <w:p>
      <w:pPr>
        <w:ind w:firstLine="1304"/>
        <w:spacing w:after="0" w:line="252" w:lineRule="auto"/>
        <w:tabs>
          <w:tab w:leader="none" w:pos="18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Group has filed all necessary Dutch and United States national, federal, state and foreign income and franchise tax returns that are required to have been filed by it pursuant to applicable national, federal, state, local, foreign or other law except insofar as the failure to file such returns would not reasonably be expected to result in a Material Adverse Effect, and has paid all taxes required to be paid by any of them pursuant to such returns or pursuant to any assessment received by the Group, except for such taxes, if any, as are being contested in good faith and as to which adequate reserves have been established by the Group or except insofar as the failure to pay such taxes would not reasonably be expected to result in a Material Adverse Effect. The charges, accruals and reserves on the books of the Company in respect of any income and corporation tax liability for any years not finally determined are adequate to meet any assessments or re-assessments for additional income and corporation tax for any years not finally determined, except to the extent of any inadequacy that would not reasonably be expected to result in a Material Adverse Effect. The Group is not involved in any current material dispute with any tax authority and the Group is currently not subject to any material investigation or audit from any tax authority. To the Company’s knowledge, except for any net (corporate) income taxes imposed on the Underwriters by the Netherlands or any political subdivision or taxing authority thereof or therein as a result of any present or former connection between the Underwriters and the Netherlands, no transaction, value added (“</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stamp, capital or other issuance, registration, transaction, transfer or withholding tax or duty is payable in the Netherlands by or on behalf of the Underwriters to any taxing authority in connection with (i) the issuance, sale and delivery of the Securities by the Company in the manner contemplated herein; (ii) the purchase from the Company, and the initial sale and delivery by the Underwriters of the Securities to purchasers thereof as contemplated herein; or (iii) the execution and delivery of this Agreement or any other document to be furnished hereunder.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right="40" w:firstLine="1304"/>
        <w:spacing w:after="0" w:line="282" w:lineRule="auto"/>
        <w:tabs>
          <w:tab w:leader="none" w:pos="17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DAC6</w:t>
      </w:r>
      <w:r>
        <w:rPr>
          <w:rFonts w:ascii="Times New Roman" w:cs="Times New Roman" w:eastAsia="Times New Roman" w:hAnsi="Times New Roman"/>
          <w:sz w:val="18"/>
          <w:szCs w:val="18"/>
          <w:color w:val="auto"/>
        </w:rPr>
        <w:t>. No transaction contemplated by this Agreement forms part of an arrangement that meets any hallmark set out in Annex IV of the Council Directive of 25 May 2018 (2018/822/EU) amending Directive 2011/16/EU (“DAC6”).</w:t>
      </w:r>
    </w:p>
    <w:p>
      <w:pPr>
        <w:spacing w:after="0" w:line="161" w:lineRule="exact"/>
        <w:rPr>
          <w:rFonts w:ascii="Times New Roman" w:cs="Times New Roman" w:eastAsia="Times New Roman" w:hAnsi="Times New Roman"/>
          <w:sz w:val="18"/>
          <w:szCs w:val="18"/>
          <w:color w:val="auto"/>
        </w:rPr>
      </w:pPr>
    </w:p>
    <w:p>
      <w:pPr>
        <w:ind w:right="120" w:firstLine="1304"/>
        <w:spacing w:after="0" w:line="258" w:lineRule="auto"/>
        <w:tabs>
          <w:tab w:leader="none" w:pos="18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Group carries or is entitled to the benefits of insurance, with financially sound and reputable insurers, in such amounts and covering such risks as is customary and adequate for the conduct of its business, and all such insurance is in full force and effect. The Group has no reason to believe that it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The Group has not been denied any insurance coverage which it has sought or for which it has applied.</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(xxxiii)</w:t>
      </w: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Neither the Company nor, to the Company’s knowledge, any affiliate of the Company has taken, nor will the Company or any affiliate take, directly or indirectly any action which is designed, or would reasonably be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180" w:lineRule="exact"/>
        <w:rPr>
          <w:sz w:val="20"/>
          <w:szCs w:val="20"/>
          <w:color w:val="auto"/>
        </w:rPr>
      </w:pPr>
    </w:p>
    <w:p>
      <w:pPr>
        <w:ind w:firstLine="1304"/>
        <w:spacing w:after="0" w:line="254" w:lineRule="auto"/>
        <w:tabs>
          <w:tab w:leader="none" w:pos="19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Neither the Company nor any of its subsidiaries nor, to the knowledge of the Company, any director, officer, agent, employee, affiliate or other person acting on behalf of the Company or any of its subsidiaries is aware of or has taken any action, directly or indirectly, that would result in a violation or a sanction for violation by such persons of the Foreign Corrupt Practices Act of 1977 or the U.K. Bribery Act 2010, each as may be amended, or similar law of any other relevant jurisdiction, or the rules or regulations thereunder; and Company and its subsidiaries and, to the knowledge of the Company, the Company’s affiliates have conducted their respective businesses in compliance with the FCPA or any other applicable anti-bribery or anti-corruption law and have instituted and maintain policies and procedures to ensure compliance therewith. No part of the proceeds of the offering will be used, directly or indirectly, in violation of the Foreign Corrupt Practices Act of 1977 or the U.K. Bribery Act 2010, each as may be amended, or similar law of any other relevant jurisdiction, or the rules or regulations thereunder.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0" w:name="page21"/>
    <w:bookmarkEnd w:id="20"/>
    <w:p>
      <w:pPr>
        <w:ind w:left="-20" w:firstLine="1304"/>
        <w:spacing w:after="0" w:line="258" w:lineRule="auto"/>
        <w:tabs>
          <w:tab w:leader="none" w:pos="18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AML</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83" w:lineRule="exact"/>
        <w:rPr>
          <w:rFonts w:ascii="Times New Roman" w:cs="Times New Roman" w:eastAsia="Times New Roman" w:hAnsi="Times New Roman"/>
          <w:sz w:val="18"/>
          <w:szCs w:val="18"/>
          <w:color w:val="auto"/>
        </w:rPr>
      </w:pPr>
    </w:p>
    <w:p>
      <w:pPr>
        <w:ind w:left="-20" w:right="20" w:firstLine="1304"/>
        <w:spacing w:after="0" w:line="252" w:lineRule="auto"/>
        <w:tabs>
          <w:tab w:leader="none" w:pos="18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Company nor any of its subsidiaries nor, to the knowledge of the Company, any director, officer, agent, employee or affiliate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His Majesty’s Treasury of the United Kingdom)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u w:val="single" w:color="auto"/>
          <w:color w:val="auto"/>
        </w:rPr>
        <w:t>Sanctioned Persons</w:t>
      </w:r>
      <w:r>
        <w:rPr>
          <w:rFonts w:ascii="Times New Roman" w:cs="Times New Roman" w:eastAsia="Times New Roman" w:hAnsi="Times New Roman"/>
          <w:sz w:val="18"/>
          <w:szCs w:val="18"/>
          <w:color w:val="auto"/>
        </w:rPr>
        <w:t>” and each such person,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(ii) is located, organized or resident in a country or territory that is, or whose government is, the subject of Sanctions (currently, Crimea, Cuba, Iran, North Korea, Syria, and the so-called Donetsk People’s Republic and so-called Luhansk People’s Republic regions of Ukraine) that broadly prohibit dealings with that country or territory (collectively,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 Neither the Company nor any of its subsidiaries has engaged in any dealings or transactions with or for the benefit of a Sanctioned Person, or with or in a Sanctioned Country, since April 24, 2019, nor does the Company or any of its subsidiaries have any plans to engage in dealings or transactions with or for the benefit of a Sanctioned Person, or with or in a Sanctioned Country.</w:t>
      </w:r>
    </w:p>
    <w:p>
      <w:pPr>
        <w:spacing w:after="0" w:line="195" w:lineRule="exact"/>
        <w:rPr>
          <w:rFonts w:ascii="Times New Roman" w:cs="Times New Roman" w:eastAsia="Times New Roman" w:hAnsi="Times New Roman"/>
          <w:sz w:val="18"/>
          <w:szCs w:val="18"/>
          <w:color w:val="auto"/>
        </w:rPr>
      </w:pPr>
    </w:p>
    <w:p>
      <w:pPr>
        <w:ind w:left="-20" w:right="300" w:firstLine="1304"/>
        <w:spacing w:after="0" w:line="266" w:lineRule="auto"/>
        <w:tabs>
          <w:tab w:leader="none" w:pos="19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Lending Relationships</w:t>
      </w:r>
      <w:r>
        <w:rPr>
          <w:rFonts w:ascii="Times New Roman" w:cs="Times New Roman" w:eastAsia="Times New Roman" w:hAnsi="Times New Roman"/>
          <w:sz w:val="18"/>
          <w:szCs w:val="18"/>
          <w:color w:val="auto"/>
        </w:rPr>
        <w:t>. The Group (i) does not have any material lending or other relationship with any banking or lending affiliate of any Underwriter and (ii) does not intend to use any of the proceeds from the sale of the Securities to repay any outstanding debt owed to any affiliate of any Underwriter.</w:t>
      </w:r>
    </w:p>
    <w:p>
      <w:pPr>
        <w:spacing w:after="0" w:line="175" w:lineRule="exact"/>
        <w:rPr>
          <w:rFonts w:ascii="Times New Roman" w:cs="Times New Roman" w:eastAsia="Times New Roman" w:hAnsi="Times New Roman"/>
          <w:sz w:val="18"/>
          <w:szCs w:val="18"/>
          <w:color w:val="auto"/>
        </w:rPr>
      </w:pPr>
    </w:p>
    <w:p>
      <w:pPr>
        <w:jc w:val="both"/>
        <w:ind w:left="-20" w:right="20" w:firstLine="1304"/>
        <w:spacing w:after="0" w:line="266" w:lineRule="auto"/>
        <w:tabs>
          <w:tab w:leader="none" w:pos="19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Any statistical and market-related data included in the Registration Statement, the General Disclosure Package or the Prospectus are based on or derived from sources that the Company believes, after reasonable inquiry, to be reliable and accurate and, to the extent required, the Company has obtained the written consent to the use of such data from such sources.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1" w:name="page22"/>
    <w:bookmarkEnd w:id="21"/>
    <w:p>
      <w:pPr>
        <w:ind w:firstLine="1304"/>
        <w:spacing w:after="0" w:line="256" w:lineRule="auto"/>
        <w:tabs>
          <w:tab w:leader="none" w:pos="19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Approval</w:t>
      </w:r>
      <w:r>
        <w:rPr>
          <w:rFonts w:ascii="Times New Roman" w:cs="Times New Roman" w:eastAsia="Times New Roman" w:hAnsi="Times New Roman"/>
          <w:sz w:val="18"/>
          <w:szCs w:val="18"/>
          <w:color w:val="auto"/>
        </w:rPr>
        <w:t>. The Ordinary Shares are registered pursuant to Section 12(b) of the 1934 Act. The Company has filed a Notice of Listing of Additional Shares with the Nasdaq Capital Market, and the Company has taken no action designed to, or likely to have the effect of, terminating the registration of the Ordinary Shares under the 1934 Act or delisting the Securities from the Nasdaq Capital Market, nor has the Company received any written notification that the Commission or the Nasdaq Capital Market is contemplating terminating such registration or listing. The Company is in compliance with all applicable listing requirements of the Nasdaq Capital Market, except to the extent as would not reasonably be expected to result in a Material Adverse Effect.</w:t>
      </w:r>
    </w:p>
    <w:p>
      <w:pPr>
        <w:spacing w:after="0" w:line="187" w:lineRule="exact"/>
        <w:rPr>
          <w:sz w:val="20"/>
          <w:szCs w:val="20"/>
          <w:color w:val="auto"/>
        </w:rPr>
      </w:pPr>
    </w:p>
    <w:p>
      <w:pPr>
        <w:ind w:right="3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There are no affiliations or associations between any member of FINRA and any of the Company’s officers, directors or 5% or greater shareholders. There are no relationships, direct or indirect, or related-party transactions involving the Company or any other person required to be described in the Registration Statement and the Prospectus which have not been described in such documents and the General Disclosure Package as required. The Company meets the definition of the term “experienced issuer” specified in FINRA Rule 5110(j)(6).</w:t>
      </w:r>
    </w:p>
    <w:p>
      <w:pPr>
        <w:spacing w:after="0" w:line="180"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pursuant to this Agreement, there is no broker, finder or other party that is entitled to receive from the Company any brokerage or finder’s fee or other fee or commission as a result of any transactions contemplated by this Agreement.</w:t>
      </w:r>
    </w:p>
    <w:p>
      <w:pPr>
        <w:spacing w:after="0" w:line="162"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The Company has the power to submit, and pursuant to Section 16 of this Agreement, has legally, validly, effectively and irrevocably submitted, to the personal jurisdiction of each United States federal court and New York state court located in the City and County of New York, Borough of Manhattan, State of New York, U.S.A., and the Company has the power to designate and pursuant to Section 16 of this Agreement, has legally, validly, effectively and irrevocably designated the notice address provided in Section 11 of this Agreement for the effective service of process in any action arising out of or relating to this Agreement or the Securities in any of the above courts, and service of process effected on such address will be effective to confer valid personal jurisdiction over the Company as provided in Section 16 hereof.</w:t>
      </w:r>
    </w:p>
    <w:p>
      <w:pPr>
        <w:spacing w:after="0" w:line="187"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No Rights of Immunity</w:t>
      </w:r>
      <w:r>
        <w:rPr>
          <w:rFonts w:ascii="Times New Roman" w:cs="Times New Roman" w:eastAsia="Times New Roman" w:hAnsi="Times New Roman"/>
          <w:sz w:val="18"/>
          <w:szCs w:val="18"/>
          <w:color w:val="auto"/>
        </w:rPr>
        <w:t>. Except as provided by laws or statutes generally applicable to transactions of the type described in this Agreement, neither the Company nor any of its respective properties, assets or revenues has any right of immunity under the laws of the Netherlands, New York State law or United States federal law, from any legal action, suit or proceeding, from the giving of any relief in any such legal action, suit or proceeding, from set-off or counterclaim, from the jurisdiction of any Dutch, New York or United States federal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Section 14 through Section 16 of this Agreement.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 w:name="page23"/>
    <w:bookmarkEnd w:id="22"/>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(xliv)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Each financial or operational projection or other “forward-looking statement” (as defined by Section 27A of the 1933 Act or Section 21E of the 1934 Act, as applicable) contained in the Registration Statement, the General Disclosure Package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 director or senior manager of the Company that is was false or misleading.</w:t>
      </w:r>
    </w:p>
    <w:p>
      <w:pPr>
        <w:spacing w:after="0" w:line="187" w:lineRule="exact"/>
        <w:rPr>
          <w:sz w:val="20"/>
          <w:szCs w:val="20"/>
          <w:color w:val="auto"/>
        </w:rPr>
      </w:pPr>
    </w:p>
    <w:p>
      <w:pPr>
        <w:ind w:right="2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(xlv) </w:t>
      </w:r>
      <w:r>
        <w:rPr>
          <w:rFonts w:ascii="Times New Roman" w:cs="Times New Roman" w:eastAsia="Times New Roman" w:hAnsi="Times New Roman"/>
          <w:sz w:val="18"/>
          <w:szCs w:val="18"/>
          <w:u w:val="single" w:color="auto"/>
          <w:color w:val="auto"/>
        </w:rPr>
        <w:t>XBRL</w:t>
      </w:r>
      <w:r>
        <w:rPr>
          <w:rFonts w:ascii="Times New Roman" w:cs="Times New Roman" w:eastAsia="Times New Roman" w:hAnsi="Times New Roman"/>
          <w:sz w:val="18"/>
          <w:szCs w:val="18"/>
          <w:color w:val="auto"/>
        </w:rPr>
        <w:t>. The interactive data in the eXtensible Business Reporting Language (“</w:t>
      </w:r>
      <w:r>
        <w:rPr>
          <w:rFonts w:ascii="Times New Roman" w:cs="Times New Roman" w:eastAsia="Times New Roman" w:hAnsi="Times New Roman"/>
          <w:sz w:val="18"/>
          <w:szCs w:val="18"/>
          <w:u w:val="single" w:color="auto"/>
          <w:color w:val="auto"/>
        </w:rPr>
        <w:t>XBRL</w:t>
      </w:r>
      <w:r>
        <w:rPr>
          <w:rFonts w:ascii="Times New Roman" w:cs="Times New Roman" w:eastAsia="Times New Roman" w:hAnsi="Times New Roman"/>
          <w:sz w:val="18"/>
          <w:szCs w:val="18"/>
          <w:color w:val="auto"/>
        </w:rPr>
        <w:t>”) included as an exhibit or incorporated by reference to the Registration Statement fairly presents the information called for in all material respects and has been prepared in accordance with the SEC’s rules and guidelines applicable thereto.</w:t>
      </w:r>
    </w:p>
    <w:p>
      <w:pPr>
        <w:spacing w:after="0" w:line="176"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(xlvi) </w:t>
      </w:r>
      <w:r>
        <w:rPr>
          <w:rFonts w:ascii="Times New Roman" w:cs="Times New Roman" w:eastAsia="Times New Roman" w:hAnsi="Times New Roman"/>
          <w:sz w:val="18"/>
          <w:szCs w:val="18"/>
          <w:u w:val="single" w:color="auto"/>
          <w:color w:val="auto"/>
        </w:rPr>
        <w:t>Data Privacy and Security Laws</w:t>
      </w:r>
      <w:r>
        <w:rPr>
          <w:rFonts w:ascii="Times New Roman" w:cs="Times New Roman" w:eastAsia="Times New Roman" w:hAnsi="Times New Roman"/>
          <w:sz w:val="18"/>
          <w:szCs w:val="18"/>
          <w:color w:val="auto"/>
        </w:rPr>
        <w:t>. The Company and its subsidiaries are, and at all prior times since January 1, 2023 were, in material compliance with all applicable data privacy and security laws and regulations (collectively, the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To ensure material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The Company provides accurate notice of its Policies then in effect to data subjects in material compliance with Privacy Laws. Each of the Company Policies provides accurate and sufficient notice of the Company’s privacy practices relating to its subject matter and such Company Policies do not contain any material omissions of the Company’s privacy practices.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or similar term under applicable Privacy Laws, or (iii) any other piece of information that allows the identification of such natural person, or his or her family, or permits the collection or analysis of any data related to an identified person’s health or sexual orientation. The execution, delivery and performance of this Agreement or any other agreement referred to in this Agreement will not result in a material breach of violation of any Privacy Laws or Policies. The Company further certifies that neither it nor any subsidiary: (i) has received notice of any actual or potential material liability under or relating to, or actual or potential violation of, any of the Privacy Laws; (ii) is currently conducting or paying for, in whole or in part, any investigation, remediation, or other corrective action pursuant to any Privacy Law; or (iii) is a party to any order, decree, or agreement that imposes any obligation or liability under any Privacy Law. The Company is not a “covered person” as defined in Executive Order 14117 and rules and regulations issued thereunder, including 28 C.F.R. Part 202, as implemented or amended from time to time (the “</w:t>
      </w:r>
      <w:r>
        <w:rPr>
          <w:rFonts w:ascii="Times New Roman" w:cs="Times New Roman" w:eastAsia="Times New Roman" w:hAnsi="Times New Roman"/>
          <w:sz w:val="18"/>
          <w:szCs w:val="18"/>
          <w:u w:val="single" w:color="auto"/>
          <w:color w:val="auto"/>
        </w:rPr>
        <w:t>DSP</w:t>
      </w:r>
      <w:r>
        <w:rPr>
          <w:rFonts w:ascii="Times New Roman" w:cs="Times New Roman" w:eastAsia="Times New Roman" w:hAnsi="Times New Roman"/>
          <w:sz w:val="18"/>
          <w:szCs w:val="18"/>
          <w:color w:val="auto"/>
        </w:rPr>
        <w:t>”). Since April 8, 2025, the Company has not engaged in or directed any “covered data transaction” as that term is defined in the DSP, except in compliance with the DSP.</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(xlvii) </w:t>
      </w:r>
      <w:r>
        <w:rPr>
          <w:rFonts w:ascii="Times New Roman" w:cs="Times New Roman" w:eastAsia="Times New Roman" w:hAnsi="Times New Roman"/>
          <w:sz w:val="18"/>
          <w:szCs w:val="18"/>
          <w:u w:val="single" w:color="auto"/>
          <w:color w:val="auto"/>
        </w:rPr>
        <w:t>Cybersecurity; Data Protection</w:t>
      </w:r>
      <w:r>
        <w:rPr>
          <w:rFonts w:ascii="Times New Roman" w:cs="Times New Roman" w:eastAsia="Times New Roman" w:hAnsi="Times New Roman"/>
          <w:sz w:val="18"/>
          <w:szCs w:val="18"/>
          <w:color w:val="auto"/>
        </w:rPr>
        <w:t>. The Company and its subsidiaries’ information technology and computer systems and assets, networks, hardware, software, websites, applications, databases equipment or technology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controls, policies, procedures, and safeguards designed to maintain and protect the integrity, continuous operation, redundancy and security of all IT Systems and all Personal Data, sensitive, confidential, and/or regulated data (collectively,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used in connection with their businesses. (i) Except as may be included or incorporated by reference in the Registration Statement, the General Disclosure Package and the Prospectus, (x) to the Company’s knowledge, the Company has not had any material security breach, violations, outages or unauthorized uses of or accesses to same, or other material compromise of or relating to any of the Company’s or its subsidiaries’ IT Systems or Data, and (y) the Company and its subsidiaries have not been notified of, and have no knowledge of any event or condition that would reasonably be expected to result in, any material security breach or other material compromise to their IT Systems or Data; (ii)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or Data and to the protection of such IT Systems or Data from unauthorized use, access, misappropriation or modification, except as would not, in the case of this clause (ii), individually or in the aggregate, have a Material Adverse Effect; and (iii) the Company and its subsidiaries have implemented backup and disaster recovery technology consistent in material respects with applicable industry standards and practices.</w:t>
      </w:r>
    </w:p>
    <w:p>
      <w:pPr>
        <w:spacing w:after="0" w:line="195" w:lineRule="exact"/>
        <w:rPr>
          <w:sz w:val="20"/>
          <w:szCs w:val="20"/>
          <w:color w:val="auto"/>
        </w:rPr>
      </w:pPr>
    </w:p>
    <w:p>
      <w:pPr>
        <w:ind w:right="4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(xlviii) </w:t>
      </w:r>
      <w:r>
        <w:rPr>
          <w:rFonts w:ascii="Times New Roman" w:cs="Times New Roman" w:eastAsia="Times New Roman" w:hAnsi="Times New Roman"/>
          <w:sz w:val="18"/>
          <w:szCs w:val="18"/>
          <w:u w:val="single" w:color="auto"/>
          <w:color w:val="auto"/>
        </w:rPr>
        <w:t>Compliance with ERISA</w:t>
      </w:r>
      <w:r>
        <w:rPr>
          <w:rFonts w:ascii="Times New Roman" w:cs="Times New Roman" w:eastAsia="Times New Roman" w:hAnsi="Times New Roman"/>
          <w:sz w:val="18"/>
          <w:szCs w:val="18"/>
          <w:color w:val="auto"/>
        </w:rPr>
        <w:t>. The Company does not maintain any “employee benefit plan” subject to Title IV of the Employee Retirement Income Security Act of 1974, as amended (“ERISA”), or the regulations and published interpretations thereunder.</w:t>
      </w:r>
    </w:p>
    <w:p>
      <w:pPr>
        <w:spacing w:after="0" w:line="162" w:lineRule="exact"/>
        <w:rPr>
          <w:sz w:val="20"/>
          <w:szCs w:val="20"/>
          <w:color w:val="auto"/>
        </w:rPr>
      </w:pPr>
    </w:p>
    <w:p>
      <w:pPr>
        <w:ind w:right="60" w:firstLine="1296"/>
        <w:spacing w:after="0" w:line="276" w:lineRule="auto"/>
        <w:rPr>
          <w:sz w:val="20"/>
          <w:szCs w:val="20"/>
          <w:color w:val="auto"/>
        </w:rPr>
      </w:pPr>
      <w:r>
        <w:rPr>
          <w:rFonts w:ascii="Times New Roman" w:cs="Times New Roman" w:eastAsia="Times New Roman" w:hAnsi="Times New Roman"/>
          <w:sz w:val="17"/>
          <w:szCs w:val="17"/>
          <w:color w:val="auto"/>
        </w:rPr>
        <w:t xml:space="preserve">(xlix) </w:t>
      </w:r>
      <w:r>
        <w:rPr>
          <w:rFonts w:ascii="Times New Roman" w:cs="Times New Roman" w:eastAsia="Times New Roman" w:hAnsi="Times New Roman"/>
          <w:sz w:val="17"/>
          <w:szCs w:val="17"/>
          <w:u w:val="single" w:color="auto"/>
          <w:color w:val="auto"/>
        </w:rPr>
        <w:t>Outbound Investment Security Program</w:t>
      </w:r>
      <w:r>
        <w:rPr>
          <w:rFonts w:ascii="Times New Roman" w:cs="Times New Roman" w:eastAsia="Times New Roman" w:hAnsi="Times New Roman"/>
          <w:sz w:val="17"/>
          <w:szCs w:val="17"/>
          <w:color w:val="auto"/>
        </w:rPr>
        <w:t>. The Company is not a “covered foreign person,” as that term is defined in 31 C.F.R. § 850.209. The Company does not currently engage, or has plans to engage, directly or indirectly, in a “covered activity,” as that term is defined in 31 C.F.R.</w:t>
      </w:r>
    </w:p>
    <w:p>
      <w:pPr>
        <w:spacing w:after="0" w:line="1" w:lineRule="exact"/>
        <w:rPr>
          <w:sz w:val="20"/>
          <w:szCs w:val="20"/>
          <w:color w:val="auto"/>
        </w:rPr>
      </w:pPr>
    </w:p>
    <w:p>
      <w:pPr>
        <w:ind w:right="60" w:firstLine="8"/>
        <w:spacing w:after="0" w:line="255" w:lineRule="auto"/>
        <w:tabs>
          <w:tab w:leader="none" w:pos="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850.208 (“</w:t>
      </w:r>
      <w:r>
        <w:rPr>
          <w:rFonts w:ascii="Times New Roman" w:cs="Times New Roman" w:eastAsia="Times New Roman" w:hAnsi="Times New Roman"/>
          <w:sz w:val="18"/>
          <w:szCs w:val="18"/>
          <w:u w:val="single" w:color="auto"/>
          <w:color w:val="auto"/>
        </w:rPr>
        <w:t>Covered Activity</w:t>
      </w:r>
      <w:r>
        <w:rPr>
          <w:rFonts w:ascii="Times New Roman" w:cs="Times New Roman" w:eastAsia="Times New Roman" w:hAnsi="Times New Roman"/>
          <w:sz w:val="18"/>
          <w:szCs w:val="18"/>
          <w:color w:val="auto"/>
        </w:rPr>
        <w:t>”).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183" w:lineRule="exact"/>
        <w:rPr>
          <w:rFonts w:ascii="Times New Roman" w:cs="Times New Roman" w:eastAsia="Times New Roman" w:hAnsi="Times New Roman"/>
          <w:sz w:val="18"/>
          <w:szCs w:val="18"/>
          <w:color w:val="auto"/>
        </w:rPr>
      </w:pPr>
    </w:p>
    <w:p>
      <w:pPr>
        <w:ind w:right="180" w:firstLine="656"/>
        <w:spacing w:after="0" w:line="284" w:lineRule="auto"/>
        <w:tabs>
          <w:tab w:leader="none" w:pos="139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Any certificate signed by any management board member of the Company delivered to the Representatives or to counsel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Underwriters shall be deemed a representation and warranty by the Company to each Underwriter as to the matters covered thereby.</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4" w:name="page25"/>
    <w:bookmarkEnd w:id="24"/>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Sale and Delivery to Underwriters; Closing</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20" w:firstLine="656"/>
        <w:spacing w:after="0" w:line="257" w:lineRule="auto"/>
        <w:tabs>
          <w:tab w:leader="none" w:pos="13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agrees to sell to each Underwriter, severally and not jointly, and each Underwriter, severally and not jointly, agrees to purchase from the Company, at the price per share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that number of Securities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plus any additional number of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spacing w:after="0" w:line="182" w:lineRule="exact"/>
        <w:rPr>
          <w:rFonts w:ascii="Times New Roman" w:cs="Times New Roman" w:eastAsia="Times New Roman" w:hAnsi="Times New Roman"/>
          <w:sz w:val="18"/>
          <w:szCs w:val="18"/>
          <w:color w:val="auto"/>
        </w:rPr>
      </w:pPr>
    </w:p>
    <w:p>
      <w:pPr>
        <w:ind w:right="60" w:firstLine="656"/>
        <w:spacing w:after="0" w:line="256" w:lineRule="auto"/>
        <w:tabs>
          <w:tab w:leader="none" w:pos="13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of the purchase price for the Securities shall be made at the offices of Cooley LLP, 3 Embarcadero Center, 20th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Floor, San Francisco, California 94111-4004 or at such other place as shall be agreed upon by the Representatives and the Company, at 9:00 A.M. (New York City time) on the first (second, if the pricing in connection with the Offering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w:t>
      </w:r>
      <w:r>
        <w:rPr>
          <w:rFonts w:ascii="Times New Roman" w:cs="Times New Roman" w:eastAsia="Times New Roman" w:hAnsi="Times New Roman"/>
          <w:sz w:val="18"/>
          <w:szCs w:val="18"/>
          <w:u w:val="single" w:color="auto"/>
          <w:color w:val="auto"/>
        </w:rPr>
        <w:t>Closing Time</w:t>
      </w:r>
      <w:r>
        <w:rPr>
          <w:rFonts w:ascii="Times New Roman" w:cs="Times New Roman" w:eastAsia="Times New Roman" w:hAnsi="Times New Roman"/>
          <w:sz w:val="18"/>
          <w:szCs w:val="18"/>
          <w:color w:val="auto"/>
        </w:rPr>
        <w:t>”). Delivery of the Securities at the Closing Time shall be made through the facilities of The Depository Trust Company unless the Representatives shall otherwise instruct.</w:t>
      </w:r>
    </w:p>
    <w:p>
      <w:pPr>
        <w:spacing w:after="0" w:line="18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Payment shall be made to the Company by wire transfer of immediately available funds to a bank account designated by the Company against delivery to the Representatives for the respective accounts of the Underwriters of the Securities to be purchased by them. It is understood that each Underwriter has authorized the Representatives, for its account, to accept delivery of and receipt for, and to make payment of the purchase price for, the Securities which it has agreed to purchase. The Representatives (not as representatives of the Underwriters) may (but shall not be obligated to) make payment of the purchase price for the Securities to be purchased by any Underwriter whose funds have not been received by the Closing Time, as the case may be, but such payment shall not relieve such Underwriter from its obligations hereunder.</w:t>
      </w:r>
    </w:p>
    <w:p>
      <w:pPr>
        <w:spacing w:after="0" w:line="18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purposes hereof, the difference between the offering price per share for the Securities and the purchase price per share for the Securities to be paid by the several Underwriters, each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is the fee paid by the Company to the several Underwriters in consideration of the services rendered by the Underwriters to the Company hereunder.</w:t>
      </w:r>
    </w:p>
    <w:p>
      <w:pPr>
        <w:spacing w:after="0" w:line="17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223" w:lineRule="exact"/>
        <w:rPr>
          <w:sz w:val="20"/>
          <w:szCs w:val="20"/>
          <w:color w:val="auto"/>
        </w:rPr>
      </w:pPr>
    </w:p>
    <w:p>
      <w:pPr>
        <w:ind w:left="1400" w:hanging="744"/>
        <w:spacing w:after="0"/>
        <w:tabs>
          <w:tab w:leader="none" w:pos="14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Notifications and Required Actions</w:t>
      </w:r>
      <w:r>
        <w:rPr>
          <w:rFonts w:ascii="Times New Roman" w:cs="Times New Roman" w:eastAsia="Times New Roman" w:hAnsi="Times New Roman"/>
          <w:sz w:val="18"/>
          <w:szCs w:val="18"/>
          <w:color w:val="auto"/>
        </w:rPr>
        <w:t>. The Company will notify the Representatives promptly and confirm the notice in writing,</w:t>
      </w:r>
    </w:p>
    <w:p>
      <w:pPr>
        <w:spacing w:after="0" w:line="29" w:lineRule="exact"/>
        <w:rPr>
          <w:rFonts w:ascii="Times New Roman" w:cs="Times New Roman" w:eastAsia="Times New Roman" w:hAnsi="Times New Roman"/>
          <w:sz w:val="18"/>
          <w:szCs w:val="18"/>
          <w:color w:val="auto"/>
        </w:rPr>
      </w:pPr>
    </w:p>
    <w:p>
      <w:pPr>
        <w:ind w:firstLine="8"/>
        <w:spacing w:after="0" w:line="251" w:lineRule="auto"/>
        <w:tabs>
          <w:tab w:leader="none" w:pos="2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from any securities exchange upon which they are listed for trading or included or designated for quotation, or of threatening or initiation of any proceedings for any such purposes. The Company agrees that it will comply with all applicable provisions of Rule 424(b), Rule 433 and Rule 430B of the 1933 Act Regulations and will use its reasonable efforts to confirm that any filings made by the Company under Rule 424(b) or Rule 433 were received by the Commission through EDGAR. The Company will make every reasonable effort to prevent the issuance of any stop order, prevention or suspension and, if any such order is issued, to obtain the lifting thereof at the earliest possible moment.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firstLine="656"/>
        <w:spacing w:after="0" w:line="252" w:lineRule="auto"/>
        <w:tabs>
          <w:tab w:leader="none" w:pos="13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comply with the 1933 Act, the 1933 Act Regulations, the 1934 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1934 Act Regulations and the rules of Nasdaq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would be) required by the 1933 Act to be delivered in connection with sales of the Securities, any event shall occur or condition shall exist as a result of which it is necessary, in the reasonable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reasonably object. The Company will furnish to the Underwriters such number of copies of such amendment or supplement as the Underwriters may reasonably request. Without limiting the generality of the foregoing, the Company will, during the period when a prospectus relating to the Securities is required by the 1933 Act to be delivered (whether physically or through compliance with Rule 172 under the 1933 Act or any similar rule), file on a timely basis with the Commission and Nasdaq all reports and documents required to be filed under the 1934 Act.</w:t>
      </w:r>
    </w:p>
    <w:p>
      <w:pPr>
        <w:spacing w:after="0" w:line="190" w:lineRule="exact"/>
        <w:rPr>
          <w:rFonts w:ascii="Times New Roman" w:cs="Times New Roman" w:eastAsia="Times New Roman" w:hAnsi="Times New Roman"/>
          <w:sz w:val="18"/>
          <w:szCs w:val="18"/>
          <w:color w:val="auto"/>
        </w:rPr>
      </w:pPr>
    </w:p>
    <w:p>
      <w:pPr>
        <w:ind w:firstLine="656"/>
        <w:spacing w:after="0" w:line="257" w:lineRule="auto"/>
        <w:tabs>
          <w:tab w:leader="none" w:pos="138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Registration Statements</w:t>
      </w:r>
      <w:r>
        <w:rPr>
          <w:rFonts w:ascii="Times New Roman" w:cs="Times New Roman" w:eastAsia="Times New Roman" w:hAnsi="Times New Roman"/>
          <w:sz w:val="18"/>
          <w:szCs w:val="18"/>
          <w:color w:val="auto"/>
        </w:rPr>
        <w:t>. The Company has furnished or will deliver to the Representatives and counsel for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charge, signed copies of the Registration Statement as originally filed and each amendment thereto (including exhibits filed therewith) and signed copies of all consents and certificates of experts, and will also deliver to the Representatives,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ind w:right="120" w:firstLine="656"/>
        <w:spacing w:after="0" w:line="257" w:lineRule="auto"/>
        <w:tabs>
          <w:tab w:leader="none" w:pos="13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has delivered to each Underwriter, without charge, as many copies of each preliminary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right="160" w:firstLine="656"/>
        <w:spacing w:after="0" w:line="258" w:lineRule="auto"/>
        <w:tabs>
          <w:tab w:leader="none" w:pos="13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cooperate with the Underwriters and counsel for the Underwriters to qualify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offering and sale under the applicable securities laws of such states and other jurisdictions (domestic or foreign)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3" w:lineRule="exact"/>
        <w:rPr>
          <w:rFonts w:ascii="Times New Roman" w:cs="Times New Roman" w:eastAsia="Times New Roman" w:hAnsi="Times New Roman"/>
          <w:sz w:val="18"/>
          <w:szCs w:val="18"/>
          <w:color w:val="auto"/>
        </w:rPr>
      </w:pPr>
    </w:p>
    <w:p>
      <w:pPr>
        <w:ind w:firstLine="656"/>
        <w:spacing w:after="0" w:line="267" w:lineRule="auto"/>
        <w:tabs>
          <w:tab w:leader="none" w:pos="13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timely file such reports pursuant to the 1934 Act as are necessary in order to make generally available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holders as soon as practicable an earnings statement for the purposes of, and to provide to the Underwriters the benefits contemplated by, the last paragraph of Section 11(a) of the 1933 Act.</w:t>
      </w:r>
    </w:p>
    <w:p>
      <w:pPr>
        <w:spacing w:after="0" w:line="173" w:lineRule="exact"/>
        <w:rPr>
          <w:rFonts w:ascii="Times New Roman" w:cs="Times New Roman" w:eastAsia="Times New Roman" w:hAnsi="Times New Roman"/>
          <w:sz w:val="18"/>
          <w:szCs w:val="18"/>
          <w:color w:val="auto"/>
        </w:rPr>
      </w:pPr>
    </w:p>
    <w:p>
      <w:pPr>
        <w:ind w:right="320" w:firstLine="656"/>
        <w:spacing w:after="0" w:line="284" w:lineRule="auto"/>
        <w:tabs>
          <w:tab w:leader="none" w:pos="13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it from the sale of the Securities in the manner specified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General Disclosure Package and the Prospectus under “Use of Proceeds.”</w:t>
      </w:r>
    </w:p>
    <w:p>
      <w:pPr>
        <w:spacing w:after="0" w:line="158"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 will use its best efforts to effect the listing of the Securities on the Nasdaq Capital Market, subject to notice of</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ind w:right="60" w:firstLine="656"/>
        <w:spacing w:after="0" w:line="252" w:lineRule="auto"/>
        <w:tabs>
          <w:tab w:leader="none" w:pos="135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 on Sale of Securities</w:t>
      </w:r>
      <w:r>
        <w:rPr>
          <w:rFonts w:ascii="Times New Roman" w:cs="Times New Roman" w:eastAsia="Times New Roman" w:hAnsi="Times New Roman"/>
          <w:sz w:val="18"/>
          <w:szCs w:val="18"/>
          <w:color w:val="auto"/>
        </w:rPr>
        <w:t>. During a period of 60 days from the date of the Prospectus, the Company will not, without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 of BofA, Evercore and Cantor, directly or indirectly, (i) offer, pledge, sell, contract to sell (including any short sale), sell any option or contract to purchase, purchase any option or contract to sell, grant any option, right or warrant to purchase or otherwise transfer or dispose of any Ordinary Shares or any securities convertible into or exercisable or exchangeable for Ordinary Shares, including depository receipts of the Company (collectively, the “</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or file or confidentially submit any registration statement under the 1933 Act with respect to any of the foregoing, (ii) enter into any swap or any other agreement or any transaction that transfers, in whole or in part, directly or indirectly, the economic consequence of ownership of the Ordinary Shares, whether any such swap or transaction described in clause (i) or (ii) above is to be settled by delivery of Ordinary Shares or such other securities, in cash or otherwise, or (iii) publicly disclose the intention to do any of the foregoing described in clauses (i) and (ii) above. The foregoing sentence shall not apply to (a) the Securities to be sold hereunder, (b) the grant of options or other equity-based awards pursuant to the terms of a plan disclosed in the Registration Statement, or the issuance of any Ordinary Shares upon the exercise of such options or other equity-based awards, provided that the recipient of such options or other equity-based awards (to the extent that such options or other equity-based awards shall vest within the period ending 60 days after the date of the Prospectus) or such Ordinary Shares shall execute and deliver a lock up agreement substantially in the form of Exhibit A hereto prior to receiving such options, equity-based awards or Ordinary Shares unless such recipient has previously executed such agreement,</w:t>
      </w:r>
    </w:p>
    <w:p>
      <w:pPr>
        <w:spacing w:after="0" w:line="3" w:lineRule="exact"/>
        <w:rPr>
          <w:rFonts w:ascii="Times New Roman" w:cs="Times New Roman" w:eastAsia="Times New Roman" w:hAnsi="Times New Roman"/>
          <w:sz w:val="18"/>
          <w:szCs w:val="18"/>
          <w:color w:val="auto"/>
        </w:rPr>
      </w:pPr>
    </w:p>
    <w:p>
      <w:pPr>
        <w:ind w:firstLine="8"/>
        <w:spacing w:after="0" w:line="250"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the Company of a registration statement on Form S-8 or a successor form thereto solely with respect to the Company’s benefit plans disclosed in the Registration Statement, the General Disclosure Package and the Prospectus, a “universal shelf” registration on Form F-3 or a successor form thereto in replacement of the Registration Statement pursuant to which the Securities herein are being sold, or a registration statement on Form F-3 or a successor form thereto for the resale of Ordinary Shares issued to Ginkgo Bioworks Holdings, Inc. on April 8, 2026 in a private placement, (d) the establishment of a trading plan pursuant to Rule 10b5-1 under the 1934 Act, for the repurchase of Ordinary Shares, provided that such plan does not provide for the repurchase of Ordinary Shares during the 60-day restricted period and no public announcement or filing under the 1934 Act regarding the establishment of such plan shall be required of or voluntarily made by or on behalf of the Company or any other person, (e) the issuance of preferred shares pursuant to the exercise of the protective call option that was granted to Stichting Continuity ProQR Therapeutics on September 23, 2014 in accordance with its terms, (f) offer, issue and sell Ordinary Shares, or any securities convertible into or exercisable or exchangeable for Ordinary Shares, on an arm’s-length basis in connection with any joint venture, collaboration, partnership or other strategic alliance, provided, that (x) the aggregate number of Ordinary Shares issued or issuable in accordance with this clause (f) of this paragraph does not exceed 15% of the number of Ordinary Shares outstanding immediately after the issuance and sale of the Securities pursuant hereto and (y) each recipient of any such Ordinary Shares or other securities agrees to restrictions on the resale of securities that are consistent with the provisions set forth in the Lock-Up Agreement (as defined in Section 5(m)) for the remainder of the 60-day restricted period, or (g) the issuance by the Company of Ordinary Shares in connection with sales under an “at-the-market” equity</w:t>
      </w:r>
    </w:p>
    <w:p>
      <w:pPr>
        <w:spacing w:after="0" w:line="5"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17"/>
          <w:szCs w:val="17"/>
          <w:color w:val="auto"/>
        </w:rPr>
        <w:t>offering program pursuant to an Controlled Equity Offering</w:t>
      </w:r>
      <w:r>
        <w:rPr>
          <w:rFonts w:ascii="Times New Roman" w:cs="Times New Roman" w:eastAsia="Times New Roman" w:hAnsi="Times New Roman"/>
          <w:sz w:val="28"/>
          <w:szCs w:val="28"/>
          <w:color w:val="auto"/>
          <w:vertAlign w:val="superscript"/>
        </w:rPr>
        <w:t>SM</w:t>
      </w:r>
      <w:r>
        <w:rPr>
          <w:rFonts w:ascii="Times New Roman" w:cs="Times New Roman" w:eastAsia="Times New Roman" w:hAnsi="Times New Roman"/>
          <w:sz w:val="17"/>
          <w:szCs w:val="17"/>
          <w:color w:val="auto"/>
        </w:rPr>
        <w:t xml:space="preserve"> Sales Agreement (the “</w:t>
      </w:r>
      <w:r>
        <w:rPr>
          <w:rFonts w:ascii="Times New Roman" w:cs="Times New Roman" w:eastAsia="Times New Roman" w:hAnsi="Times New Roman"/>
          <w:sz w:val="17"/>
          <w:szCs w:val="17"/>
          <w:u w:val="single" w:color="auto"/>
          <w:color w:val="auto"/>
        </w:rPr>
        <w:t>Sale Agreement</w:t>
      </w:r>
      <w:r>
        <w:rPr>
          <w:rFonts w:ascii="Times New Roman" w:cs="Times New Roman" w:eastAsia="Times New Roman" w:hAnsi="Times New Roman"/>
          <w:sz w:val="17"/>
          <w:szCs w:val="17"/>
          <w:color w:val="auto"/>
        </w:rPr>
        <w:t>”) between the Company and Cantor, dated as of November 4, 2021, provided no sales shall be made under the Sale Agreement until the thirtieth day following the date of the Prospectus, or (h) the issuance and sale by the Company in a private placement concurrently with the Offering of the Securities contemplated hereby to Eli Lilly and Company.</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28" w:name="page29"/>
    <w:bookmarkEnd w:id="28"/>
    <w:p>
      <w:pPr>
        <w:ind w:left="-20" w:firstLine="656"/>
        <w:spacing w:after="0" w:line="253" w:lineRule="auto"/>
        <w:tabs>
          <w:tab w:leader="none" w:pos="13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The Company agrees that, unless it obtains the prior written consent of the Representatives, it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187" w:lineRule="exact"/>
        <w:rPr>
          <w:rFonts w:ascii="Times New Roman" w:cs="Times New Roman" w:eastAsia="Times New Roman" w:hAnsi="Times New Roman"/>
          <w:sz w:val="18"/>
          <w:szCs w:val="18"/>
          <w:color w:val="auto"/>
        </w:rPr>
      </w:pPr>
    </w:p>
    <w:p>
      <w:pPr>
        <w:ind w:left="-20" w:right="540" w:firstLine="656"/>
        <w:spacing w:after="0" w:line="284" w:lineRule="auto"/>
        <w:tabs>
          <w:tab w:leader="none" w:pos="13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Limitation</w:t>
      </w:r>
      <w:r>
        <w:rPr>
          <w:rFonts w:ascii="Times New Roman" w:cs="Times New Roman" w:eastAsia="Times New Roman" w:hAnsi="Times New Roman"/>
          <w:sz w:val="18"/>
          <w:szCs w:val="18"/>
          <w:color w:val="auto"/>
        </w:rPr>
        <w:t>. The Company shall not invest or otherwise use the proceeds received by the Company from its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in such a manner as would require the Company or any of its subsidiaries to register as an investment company under the 1940 Act.</w:t>
      </w:r>
    </w:p>
    <w:p>
      <w:pPr>
        <w:spacing w:after="0" w:line="158" w:lineRule="exact"/>
        <w:rPr>
          <w:rFonts w:ascii="Times New Roman" w:cs="Times New Roman" w:eastAsia="Times New Roman" w:hAnsi="Times New Roman"/>
          <w:sz w:val="18"/>
          <w:szCs w:val="18"/>
          <w:color w:val="auto"/>
        </w:rPr>
      </w:pPr>
    </w:p>
    <w:p>
      <w:pPr>
        <w:ind w:left="-20" w:right="80" w:firstLine="656"/>
        <w:spacing w:after="0" w:line="258" w:lineRule="auto"/>
        <w:tabs>
          <w:tab w:leader="none" w:pos="13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Stabilization or Manipulation; Compliance with Regulation M</w:t>
      </w:r>
      <w:r>
        <w:rPr>
          <w:rFonts w:ascii="Times New Roman" w:cs="Times New Roman" w:eastAsia="Times New Roman" w:hAnsi="Times New Roman"/>
          <w:sz w:val="18"/>
          <w:szCs w:val="18"/>
          <w:color w:val="auto"/>
        </w:rPr>
        <w:t>. The Company will not take, and will use commercially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efforts to ensure that no affiliate of the Company will take, directly or indirectly, any action designed to or that might reasonably be expected to cause or result in stabilization or manipulation of the price of the Securities or any reference security with respect to the Securities, whether to facilitate the sale or resale of the Securities or otherwise, and the Company will, and shall use commercially reasonable efforts to cause each of its affiliates to, comply with all applicable provisions of Regulation M.</w:t>
      </w:r>
    </w:p>
    <w:p>
      <w:pPr>
        <w:spacing w:after="0" w:line="183" w:lineRule="exact"/>
        <w:rPr>
          <w:rFonts w:ascii="Times New Roman" w:cs="Times New Roman" w:eastAsia="Times New Roman" w:hAnsi="Times New Roman"/>
          <w:sz w:val="18"/>
          <w:szCs w:val="18"/>
          <w:color w:val="auto"/>
        </w:rPr>
      </w:pPr>
    </w:p>
    <w:p>
      <w:pPr>
        <w:ind w:left="-20" w:right="20" w:firstLine="656"/>
        <w:spacing w:after="0" w:line="284" w:lineRule="auto"/>
        <w:tabs>
          <w:tab w:leader="none" w:pos="14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The Company will indemnify and hold harmless the Underwriters against any VAT, documentary, stamp or similar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including any interest and penalties, on the creation, issue and sale of the Securities and on the execution and delivery of this Agreement.</w:t>
      </w:r>
    </w:p>
    <w:p>
      <w:pPr>
        <w:spacing w:after="0" w:line="158" w:lineRule="exact"/>
        <w:rPr>
          <w:rFonts w:ascii="Times New Roman" w:cs="Times New Roman" w:eastAsia="Times New Roman" w:hAnsi="Times New Roman"/>
          <w:sz w:val="18"/>
          <w:szCs w:val="18"/>
          <w:color w:val="auto"/>
        </w:rPr>
      </w:pPr>
    </w:p>
    <w:p>
      <w:pPr>
        <w:ind w:left="-20" w:right="160" w:firstLine="656"/>
        <w:spacing w:after="0" w:line="258" w:lineRule="auto"/>
        <w:tabs>
          <w:tab w:leader="none" w:pos="13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 taxes</w:t>
      </w:r>
      <w:r>
        <w:rPr>
          <w:rFonts w:ascii="Times New Roman" w:cs="Times New Roman" w:eastAsia="Times New Roman" w:hAnsi="Times New Roman"/>
          <w:sz w:val="18"/>
          <w:szCs w:val="18"/>
          <w:color w:val="auto"/>
        </w:rPr>
        <w:t>. All sums payable by the Group to the Underwriters under this Agreement shall be paid free and clear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deductions or withholdings imposed by the Netherlands or by any other jurisdiction through which the Group chooses to make a payment, unless the deduction or withholding is required by law, in which event the Group shall pay such additional amount as shall be required to ensure that the net amount received by the relevant Underwriter will equal the full amount which would have been received by such Underwriter had no deduction or withholding been made.</w:t>
      </w:r>
    </w:p>
    <w:p>
      <w:pPr>
        <w:spacing w:after="0" w:line="183" w:lineRule="exact"/>
        <w:rPr>
          <w:rFonts w:ascii="Times New Roman" w:cs="Times New Roman" w:eastAsia="Times New Roman" w:hAnsi="Times New Roman"/>
          <w:sz w:val="18"/>
          <w:szCs w:val="18"/>
          <w:color w:val="auto"/>
        </w:rPr>
      </w:pPr>
    </w:p>
    <w:p>
      <w:pPr>
        <w:ind w:left="-20" w:right="120" w:firstLine="656"/>
        <w:spacing w:after="0" w:line="261" w:lineRule="auto"/>
        <w:tabs>
          <w:tab w:leader="none" w:pos="13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VAT. </w:t>
      </w:r>
      <w:r>
        <w:rPr>
          <w:rFonts w:ascii="Times New Roman" w:cs="Times New Roman" w:eastAsia="Times New Roman" w:hAnsi="Times New Roman"/>
          <w:sz w:val="18"/>
          <w:szCs w:val="18"/>
          <w:color w:val="auto"/>
        </w:rPr>
        <w:t>All sums payable by the Group to the Underwriters under this Agreement shall be considered exclusive of any VAT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taxes levied by reference to added value or sales. If the transactions described in this Agreement are subject to any VAT, the sums payable by the Group to the relevant Underwriter under this Agreement shall be increased with such VAT, provided that the relevant Underwriter shall provide the Group with a valid invoice that complies with all relevant tax regulations and that specifically states the applicable amount of VAT.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2" w:right="359" w:bottom="1440" w:gutter="0" w:footer="0" w:header="0"/>
        </w:sectPr>
      </w:pPr>
    </w:p>
    <w:bookmarkStart w:id="29" w:name="page30"/>
    <w:bookmarkEnd w:id="29"/>
    <w:p>
      <w:pPr>
        <w:ind w:left="64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Payment of Expenses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20" w:firstLine="656"/>
        <w:spacing w:after="0" w:line="252" w:lineRule="auto"/>
        <w:tabs>
          <w:tab w:leader="none" w:pos="13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will pay or cause to be paid all expenses (together with any irrecoverable VAT payable in respect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incident to the performance of its obligations under this 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in connection therewith and in connection with the preparation of a “Blue Sky Survey” and any supplement thereto, in an amount not to exceed $5,000,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in connection with the road show presentations, travel and lodging expenses of the Company’s officers and employees and any such consultants (provided that the travel, lodging and any car travel expenses of the representatives of the Underwriters shall be paid by the Underwriters), and 50% of the cost of any aircraft and other transportation chartered in connection with the road show, (viii) the reasonable fees and disbursements of counsel to the Underwriters in connection with the review by FINRA of the terms of the sale of the Securities, in an amount not to exceed $20,000, (ix) the fees and expenses incurred in connection with the listing of the Securities on the Nasdaq Capital Market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Notwithstanding the above, except as provided in this Section 4(a), Section 4(b) below, Section 6 (Indemnification) and Section 7 (Contribution), the Underwriters will pay all of their costs and expenses, including fees and expenses of their counsel.</w:t>
      </w:r>
    </w:p>
    <w:p>
      <w:pPr>
        <w:spacing w:after="0" w:line="187" w:lineRule="exact"/>
        <w:rPr>
          <w:rFonts w:ascii="Times New Roman" w:cs="Times New Roman" w:eastAsia="Times New Roman" w:hAnsi="Times New Roman"/>
          <w:sz w:val="18"/>
          <w:szCs w:val="18"/>
          <w:color w:val="auto"/>
        </w:rPr>
      </w:pPr>
    </w:p>
    <w:p>
      <w:pPr>
        <w:ind w:left="-20" w:right="280" w:firstLine="656"/>
        <w:spacing w:after="0" w:line="267" w:lineRule="auto"/>
        <w:tabs>
          <w:tab w:leader="none" w:pos="13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this Agreement is terminated by the Representatives in accordance with the provisions of Section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9(a)(i) or Section 9(a)(iii) hereof, the Company shall reimburse the Underwriters for all of their reasonably documented out-of-pocket expenses, including the reasonable fees and disbursements of counsel for the Underwriters.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0" w:name="page31"/>
    <w:bookmarkEnd w:id="30"/>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several Underwriters hereunder are subject to the accuracy of the representations and warranties of the Company contained herein or in certificates of any member of the management board of the Company delivered pursuant to the provisions hereof, to the performance by the Company of its covenants and other obligations hereunder, and to the following further conditions:</w:t>
      </w:r>
    </w:p>
    <w:p>
      <w:pPr>
        <w:spacing w:after="0" w:line="178" w:lineRule="exact"/>
        <w:rPr>
          <w:sz w:val="20"/>
          <w:szCs w:val="20"/>
          <w:color w:val="auto"/>
        </w:rPr>
      </w:pPr>
    </w:p>
    <w:p>
      <w:pPr>
        <w:ind w:right="280" w:firstLine="656"/>
        <w:spacing w:after="0" w:line="255" w:lineRule="auto"/>
        <w:tabs>
          <w:tab w:leader="none" w:pos="13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 Rule 430B Information</w:t>
      </w:r>
      <w:r>
        <w:rPr>
          <w:rFonts w:ascii="Times New Roman" w:cs="Times New Roman" w:eastAsia="Times New Roman" w:hAnsi="Times New Roman"/>
          <w:sz w:val="18"/>
          <w:szCs w:val="18"/>
          <w:color w:val="auto"/>
        </w:rPr>
        <w:t>. The Registration Statement, including any Rule 462(b)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has become effective and, at the Closing Time, no stop order suspending the effectiveness of the Registration Statement or any post-effective amendment thereto has been issued under the 1933 Act or the 1934 Act, no order preventing or suspending the use of any preliminary prospectus or the Prospectus has been issued and no proceedings for any of those purposes have been instituted or are pending or, to the Company’s knowledge, contemplated; and the Company has complied in all material respects with each request (if any) from the Commission for additional information. A prospectus containing the Rule 430B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430B.</w:t>
      </w:r>
    </w:p>
    <w:p>
      <w:pPr>
        <w:spacing w:after="0" w:line="184" w:lineRule="exact"/>
        <w:rPr>
          <w:rFonts w:ascii="Times New Roman" w:cs="Times New Roman" w:eastAsia="Times New Roman" w:hAnsi="Times New Roman"/>
          <w:sz w:val="18"/>
          <w:szCs w:val="18"/>
          <w:color w:val="auto"/>
        </w:rPr>
      </w:pPr>
    </w:p>
    <w:p>
      <w:pPr>
        <w:ind w:right="180" w:firstLine="656"/>
        <w:spacing w:after="0" w:line="261" w:lineRule="auto"/>
        <w:tabs>
          <w:tab w:leader="none" w:pos="13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United States Counsel for Company</w:t>
      </w:r>
      <w:r>
        <w:rPr>
          <w:rFonts w:ascii="Times New Roman" w:cs="Times New Roman" w:eastAsia="Times New Roman" w:hAnsi="Times New Roman"/>
          <w:sz w:val="18"/>
          <w:szCs w:val="18"/>
          <w:color w:val="auto"/>
        </w:rPr>
        <w:t>. At the Closing Time, the Representatives shall have received the opinion of Goodwin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Procter LLP, United States counsel for the Company, dated the Closing Time, including with respect to regulatory matters, in form and substance satisfactory to counsel for the Underwriters and agreed upon between the parties, together with signed or reproduced copies of such letter for each of the other Underwriters.</w:t>
      </w:r>
    </w:p>
    <w:p>
      <w:pPr>
        <w:spacing w:after="0" w:line="179" w:lineRule="exact"/>
        <w:rPr>
          <w:rFonts w:ascii="Times New Roman" w:cs="Times New Roman" w:eastAsia="Times New Roman" w:hAnsi="Times New Roman"/>
          <w:sz w:val="18"/>
          <w:szCs w:val="18"/>
          <w:color w:val="auto"/>
        </w:rPr>
      </w:pPr>
    </w:p>
    <w:p>
      <w:pPr>
        <w:ind w:right="120" w:firstLine="656"/>
        <w:spacing w:after="0" w:line="261" w:lineRule="auto"/>
        <w:tabs>
          <w:tab w:leader="none" w:pos="13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Negative Assurance Letter of United States Counsel for the Company</w:t>
      </w:r>
      <w:r>
        <w:rPr>
          <w:rFonts w:ascii="Times New Roman" w:cs="Times New Roman" w:eastAsia="Times New Roman" w:hAnsi="Times New Roman"/>
          <w:sz w:val="18"/>
          <w:szCs w:val="18"/>
          <w:color w:val="auto"/>
        </w:rPr>
        <w:t>. At the Closing Time, the Representatives shall have received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negative assurance letter of Goodwin Procter LLP, United States counsel for the Company, dated the Closing Time, in form and substance satisfactory to counsel for the Underwriters and agreed upon between the parties, together with signed or reproduced copies of such letter for each of the other Underwriters.</w:t>
      </w:r>
    </w:p>
    <w:p>
      <w:pPr>
        <w:spacing w:after="0" w:line="179" w:lineRule="exact"/>
        <w:rPr>
          <w:rFonts w:ascii="Times New Roman" w:cs="Times New Roman" w:eastAsia="Times New Roman" w:hAnsi="Times New Roman"/>
          <w:sz w:val="18"/>
          <w:szCs w:val="18"/>
          <w:color w:val="auto"/>
        </w:rPr>
      </w:pPr>
    </w:p>
    <w:p>
      <w:pPr>
        <w:ind w:firstLine="656"/>
        <w:spacing w:after="0" w:line="261" w:lineRule="auto"/>
        <w:tabs>
          <w:tab w:leader="none" w:pos="13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Dutch Counsel for the Company</w:t>
      </w:r>
      <w:r>
        <w:rPr>
          <w:rFonts w:ascii="Times New Roman" w:cs="Times New Roman" w:eastAsia="Times New Roman" w:hAnsi="Times New Roman"/>
          <w:sz w:val="18"/>
          <w:szCs w:val="18"/>
          <w:color w:val="auto"/>
        </w:rPr>
        <w:t>. At the Closing Time, the Representatives shall have received the opinion of A&amp;O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Shearman LLP, Dutch counsel for the Company, dated the Closing Time, including with respect to certain regulatory and Dutch tax matters, in the form and substance satisfactory to counsel of the Underwriters and agreed upon between the parties, together with signed or reproduced copies of such letter for each of the other Underwriters.</w:t>
      </w:r>
    </w:p>
    <w:p>
      <w:pPr>
        <w:spacing w:after="0" w:line="179" w:lineRule="exact"/>
        <w:rPr>
          <w:rFonts w:ascii="Times New Roman" w:cs="Times New Roman" w:eastAsia="Times New Roman" w:hAnsi="Times New Roman"/>
          <w:sz w:val="18"/>
          <w:szCs w:val="18"/>
          <w:color w:val="auto"/>
        </w:rPr>
      </w:pPr>
    </w:p>
    <w:p>
      <w:pPr>
        <w:jc w:val="both"/>
        <w:ind w:right="40" w:firstLine="656"/>
        <w:spacing w:after="0" w:line="261" w:lineRule="auto"/>
        <w:tabs>
          <w:tab w:leader="none" w:pos="13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Opinions of Intellectual Property Counsels for the Company</w:t>
      </w:r>
      <w:r>
        <w:rPr>
          <w:rFonts w:ascii="Times New Roman" w:cs="Times New Roman" w:eastAsia="Times New Roman" w:hAnsi="Times New Roman"/>
          <w:sz w:val="18"/>
          <w:szCs w:val="18"/>
          <w:color w:val="auto"/>
        </w:rPr>
        <w:t>. At the Closing Time, the Representatives shall have received the opinions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Sterne, Kessler, Goldstein &amp; Fox PLLC and Greaves Brewster LLP, intellectual property counsels for the Company, dated the Closing Time, in form and substance satisfactory to counsel for the Underwriters and agreed upon between the parties, together with signed or reproduced copies of such letter for each of the other Underwriters.</w:t>
      </w:r>
    </w:p>
    <w:p>
      <w:pPr>
        <w:spacing w:after="0" w:line="179" w:lineRule="exact"/>
        <w:rPr>
          <w:rFonts w:ascii="Times New Roman" w:cs="Times New Roman" w:eastAsia="Times New Roman" w:hAnsi="Times New Roman"/>
          <w:sz w:val="18"/>
          <w:szCs w:val="18"/>
          <w:color w:val="auto"/>
        </w:rPr>
      </w:pPr>
    </w:p>
    <w:p>
      <w:pPr>
        <w:ind w:right="80" w:firstLine="656"/>
        <w:spacing w:after="0" w:line="256" w:lineRule="auto"/>
        <w:tabs>
          <w:tab w:leader="none" w:pos="13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United States Counsel for Underwriters</w:t>
      </w:r>
      <w:r>
        <w:rPr>
          <w:rFonts w:ascii="Times New Roman" w:cs="Times New Roman" w:eastAsia="Times New Roman" w:hAnsi="Times New Roman"/>
          <w:sz w:val="18"/>
          <w:szCs w:val="18"/>
          <w:color w:val="auto"/>
        </w:rPr>
        <w:t>. At the Closing Time, the Representatives shall have received the opinion of Cooley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LLP, United States counsel for the Underwriters, dated the Closing Time, together with signed or reproduced copies of such letter for each of the other Underwriters with respect to such matters as the Representatives may reasonably request.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Representatives. Such counsel may also state that, insofar as such opinion involves factual matters, they have relied, to the extent they deem proper, upon certificates of officers and other representatives of the Company and certificates of public officials.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8" w:right="40" w:firstLine="656"/>
        <w:spacing w:after="0" w:line="267" w:lineRule="auto"/>
        <w:tabs>
          <w:tab w:leader="none" w:pos="13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Dutch Counsel for the Underwriters</w:t>
      </w:r>
      <w:r>
        <w:rPr>
          <w:rFonts w:ascii="Times New Roman" w:cs="Times New Roman" w:eastAsia="Times New Roman" w:hAnsi="Times New Roman"/>
          <w:sz w:val="18"/>
          <w:szCs w:val="18"/>
          <w:color w:val="auto"/>
        </w:rPr>
        <w:t>. At the Closing Time, the Representatives shall have received the opinion of Stibbe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N.V., Dutch counsel for the Underwriters in connection with the offer and sale of the Securities, dated the Closing Time, in form and substance satisfactory to the Underwriters.</w:t>
      </w:r>
    </w:p>
    <w:p>
      <w:pPr>
        <w:spacing w:after="0" w:line="173" w:lineRule="exact"/>
        <w:rPr>
          <w:rFonts w:ascii="Times New Roman" w:cs="Times New Roman" w:eastAsia="Times New Roman" w:hAnsi="Times New Roman"/>
          <w:sz w:val="18"/>
          <w:szCs w:val="18"/>
          <w:color w:val="auto"/>
        </w:rPr>
      </w:pPr>
    </w:p>
    <w:p>
      <w:pPr>
        <w:jc w:val="both"/>
        <w:ind w:left="-8" w:firstLine="656"/>
        <w:spacing w:after="0" w:line="271" w:lineRule="auto"/>
        <w:tabs>
          <w:tab w:leader="none" w:pos="1389"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Certificate</w:t>
      </w:r>
      <w:r>
        <w:rPr>
          <w:rFonts w:ascii="Times New Roman" w:cs="Times New Roman" w:eastAsia="Times New Roman" w:hAnsi="Times New Roman"/>
          <w:sz w:val="17"/>
          <w:szCs w:val="17"/>
          <w:color w:val="auto"/>
        </w:rPr>
        <w:t>. At the Closing Time, there shall not have been, since the date hereof or since the respective dates as of which information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given in the Registration Statement, the General Disclosure Package or the Prospectus, any material adverse change in the condition, financial or otherwise, or in the earnings, business affairs, properties or prospects of the Company and its subsidiaries, taken as a whole, whether or not arising in the ordinary course of business, and the Representatives shall have received a certificate of a management board member, dated the Closing Time, to the effect that</w:t>
      </w:r>
    </w:p>
    <w:p>
      <w:pPr>
        <w:spacing w:after="0" w:line="1" w:lineRule="exact"/>
        <w:rPr>
          <w:rFonts w:ascii="Times New Roman" w:cs="Times New Roman" w:eastAsia="Times New Roman" w:hAnsi="Times New Roman"/>
          <w:sz w:val="17"/>
          <w:szCs w:val="17"/>
          <w:color w:val="auto"/>
        </w:rPr>
      </w:pPr>
    </w:p>
    <w:p>
      <w:pPr>
        <w:ind w:left="-8" w:right="80" w:firstLine="8"/>
        <w:spacing w:after="0" w:line="252" w:lineRule="auto"/>
        <w:tabs>
          <w:tab w:leader="none" w:pos="20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this Agreement through the Closing Time, there has been no Material Adverse Effect, (ii) the representations and warranties of the Company in this Agreement are true and correct with the same force and effect as though expressly made at and as of the Closing Time, (iii) the Company has complied in all material respects with all agreements and satisfied all conditions on its part to be performed or satisfied at or prior to the Closing Time, and (iv) no stop order suspending the effectiveness of the Registration Statement under the 1933 Act has been issued and remains outstanding, no order preventing or suspending the use of any preliminary prospectus or the Prospectus has been issued and remains outstanding and no proceedings for any of those purposes have been instituted or are pending or, to their knowledge, contemplated.</w:t>
      </w:r>
    </w:p>
    <w:p>
      <w:pPr>
        <w:spacing w:after="0" w:line="187" w:lineRule="exact"/>
        <w:rPr>
          <w:rFonts w:ascii="Times New Roman" w:cs="Times New Roman" w:eastAsia="Times New Roman" w:hAnsi="Times New Roman"/>
          <w:sz w:val="18"/>
          <w:szCs w:val="18"/>
          <w:color w:val="auto"/>
        </w:rPr>
      </w:pPr>
    </w:p>
    <w:p>
      <w:pPr>
        <w:ind w:left="-8" w:right="340" w:firstLine="656"/>
        <w:spacing w:after="0" w:line="258" w:lineRule="auto"/>
        <w:tabs>
          <w:tab w:leader="none" w:pos="13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At the time of the execution of this Agreement, the Representatives shall have received from KPMG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Accountants N.V.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83" w:lineRule="exact"/>
        <w:rPr>
          <w:rFonts w:ascii="Times New Roman" w:cs="Times New Roman" w:eastAsia="Times New Roman" w:hAnsi="Times New Roman"/>
          <w:sz w:val="18"/>
          <w:szCs w:val="18"/>
          <w:color w:val="auto"/>
        </w:rPr>
      </w:pPr>
    </w:p>
    <w:p>
      <w:pPr>
        <w:jc w:val="both"/>
        <w:ind w:left="-8" w:right="80" w:firstLine="656"/>
        <w:spacing w:after="0" w:line="267" w:lineRule="auto"/>
        <w:tabs>
          <w:tab w:leader="none" w:pos="13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At the Closing Time, the Representatives shall have received from KPMG Accountants N.V a letter,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Closing Time, to the effect that they reaffirm the statements made in the letter furnished pursuant to subsection (h) of this Section, except that the specified date referred to shall be a date not more than two Business Days prior to the Closing Time.</w:t>
      </w:r>
    </w:p>
    <w:p>
      <w:pPr>
        <w:spacing w:after="0" w:line="173" w:lineRule="exact"/>
        <w:rPr>
          <w:rFonts w:ascii="Times New Roman" w:cs="Times New Roman" w:eastAsia="Times New Roman" w:hAnsi="Times New Roman"/>
          <w:sz w:val="18"/>
          <w:szCs w:val="18"/>
          <w:color w:val="auto"/>
        </w:rPr>
      </w:pPr>
    </w:p>
    <w:p>
      <w:pPr>
        <w:ind w:left="-8" w:right="260" w:firstLine="656"/>
        <w:spacing w:after="0" w:line="284" w:lineRule="auto"/>
        <w:tabs>
          <w:tab w:leader="none" w:pos="138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CFO Certificate</w:t>
      </w:r>
      <w:r>
        <w:rPr>
          <w:rFonts w:ascii="Times New Roman" w:cs="Times New Roman" w:eastAsia="Times New Roman" w:hAnsi="Times New Roman"/>
          <w:sz w:val="18"/>
          <w:szCs w:val="18"/>
          <w:color w:val="auto"/>
        </w:rPr>
        <w:t>. The Representatives shall have received a certificate of the Chief Financial Officer of the Company, dated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Time in form and substance satisfactory to the Representatives.</w:t>
      </w:r>
    </w:p>
    <w:p>
      <w:pPr>
        <w:spacing w:after="0" w:line="3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2" w:right="359" w:bottom="1440" w:gutter="0" w:footer="0" w:header="0"/>
        </w:sectPr>
      </w:pPr>
    </w:p>
    <w:bookmarkStart w:id="32" w:name="page33"/>
    <w:bookmarkEnd w:id="32"/>
    <w:p>
      <w:pPr>
        <w:ind w:left="-40" w:firstLine="656"/>
        <w:spacing w:after="0" w:line="284" w:lineRule="auto"/>
        <w:tabs>
          <w:tab w:leader="none" w:pos="13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At the Closing Time, the Securities shall have been approved for listing on the Nasdaq Capital Market, subject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official notice of issuance.</w:t>
      </w:r>
    </w:p>
    <w:p>
      <w:pPr>
        <w:spacing w:after="0" w:line="158" w:lineRule="exact"/>
        <w:rPr>
          <w:rFonts w:ascii="Times New Roman" w:cs="Times New Roman" w:eastAsia="Times New Roman" w:hAnsi="Times New Roman"/>
          <w:sz w:val="18"/>
          <w:szCs w:val="18"/>
          <w:color w:val="auto"/>
        </w:rPr>
      </w:pPr>
    </w:p>
    <w:p>
      <w:pPr>
        <w:ind w:left="1420" w:hanging="804"/>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200" w:firstLine="656"/>
        <w:spacing w:after="0" w:line="284" w:lineRule="auto"/>
        <w:tabs>
          <w:tab w:leader="none" w:pos="135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At the date of this Agreement, the Representatives shall have received an agreement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signed by the persons and entities listed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w:t>
      </w:r>
    </w:p>
    <w:p>
      <w:pPr>
        <w:spacing w:after="0" w:line="158" w:lineRule="exact"/>
        <w:rPr>
          <w:rFonts w:ascii="Times New Roman" w:cs="Times New Roman" w:eastAsia="Times New Roman" w:hAnsi="Times New Roman"/>
          <w:sz w:val="18"/>
          <w:szCs w:val="18"/>
          <w:color w:val="auto"/>
        </w:rPr>
      </w:pPr>
    </w:p>
    <w:p>
      <w:pPr>
        <w:jc w:val="both"/>
        <w:ind w:left="-40" w:right="20" w:firstLine="656"/>
        <w:spacing w:after="0" w:line="258" w:lineRule="auto"/>
        <w:tabs>
          <w:tab w:leader="none" w:pos="135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At the Closing Time, counsel for the Underwriters shall have been furnished with such documents and opinions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w:t>
      </w:r>
    </w:p>
    <w:p>
      <w:pPr>
        <w:spacing w:after="0" w:line="183" w:lineRule="exact"/>
        <w:rPr>
          <w:rFonts w:ascii="Times New Roman" w:cs="Times New Roman" w:eastAsia="Times New Roman" w:hAnsi="Times New Roman"/>
          <w:sz w:val="18"/>
          <w:szCs w:val="18"/>
          <w:color w:val="auto"/>
        </w:rPr>
      </w:pPr>
    </w:p>
    <w:p>
      <w:pPr>
        <w:jc w:val="both"/>
        <w:ind w:left="-40" w:right="140" w:firstLine="656"/>
        <w:spacing w:after="0" w:line="261" w:lineRule="auto"/>
        <w:tabs>
          <w:tab w:leader="none" w:pos="135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any condition specified in this Section shall not have been fulfilled when and as required to be fulfilled,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may be terminated by the Representatives by notice to the Company at any time at or prior to Closing Time, as the case may be, and such termination shall be without liability of any party to any other party except as provided in Section 4 and except that Sections 1, 6, 7, 8, 14, 15 and 16 shall survive any such termination and remain in full force and effect.</w:t>
      </w:r>
    </w:p>
    <w:p>
      <w:pPr>
        <w:spacing w:after="0" w:line="182" w:lineRule="exact"/>
        <w:rPr>
          <w:sz w:val="20"/>
          <w:szCs w:val="20"/>
          <w:color w:val="auto"/>
        </w:rPr>
      </w:pPr>
    </w:p>
    <w:p>
      <w:pPr>
        <w:ind w:left="62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 w:right="20" w:firstLine="656"/>
        <w:spacing w:after="0" w:line="267" w:lineRule="auto"/>
        <w:tabs>
          <w:tab w:leader="none" w:pos="134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Underwriters</w:t>
      </w:r>
      <w:r>
        <w:rPr>
          <w:rFonts w:ascii="Times New Roman" w:cs="Times New Roman" w:eastAsia="Times New Roman" w:hAnsi="Times New Roman"/>
          <w:sz w:val="18"/>
          <w:szCs w:val="18"/>
          <w:color w:val="auto"/>
        </w:rPr>
        <w:t>. The Company agrees to indemnify and hold harmless each Underwriter, its directors and officers,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(as such term is defined in Rule 501(b) of the 1933 Act Regulations (each,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its selling agents and each person, if any, who controls any Underwriter within the meaning of Section 15 of the 1933 Act or Section 20 of the 1934 Act as follows:</w:t>
      </w:r>
    </w:p>
    <w:p>
      <w:pPr>
        <w:spacing w:after="0" w:line="175" w:lineRule="exact"/>
        <w:rPr>
          <w:rFonts w:ascii="Times New Roman" w:cs="Times New Roman" w:eastAsia="Times New Roman" w:hAnsi="Times New Roman"/>
          <w:sz w:val="18"/>
          <w:szCs w:val="18"/>
          <w:color w:val="auto"/>
        </w:rPr>
      </w:pPr>
    </w:p>
    <w:p>
      <w:pPr>
        <w:ind w:left="-40" w:right="20" w:firstLine="1304"/>
        <w:spacing w:after="0" w:line="254" w:lineRule="auto"/>
        <w:tabs>
          <w:tab w:leader="none" w:pos="151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the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with the approval of, the Company in connection with the marketing of the Offering of the Securities, including any roadshow or investor presentations made to investors by the Company (whether in person or electronically) (“</w:t>
      </w:r>
      <w:r>
        <w:rPr>
          <w:rFonts w:ascii="Times New Roman" w:cs="Times New Roman" w:eastAsia="Times New Roman" w:hAnsi="Times New Roman"/>
          <w:sz w:val="18"/>
          <w:szCs w:val="18"/>
          <w:u w:val="single" w:color="auto"/>
          <w:color w:val="auto"/>
        </w:rPr>
        <w:t>Marketing Materials</w:t>
      </w:r>
      <w:r>
        <w:rPr>
          <w:rFonts w:ascii="Times New Roman" w:cs="Times New Roman" w:eastAsia="Times New Roman" w:hAnsi="Times New Roman"/>
          <w:sz w:val="18"/>
          <w:szCs w:val="18"/>
          <w:color w:val="auto"/>
        </w:rPr>
        <w:t>”), or the omission or alleged omission in any preliminary prospectus, Issuer Free Writing Prospectus, Prospectus or in any Marketing Materials of a material fact necessary in order to make the statements therein, in the light of the circumstances under which they were made, not misleading;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2" w:right="359" w:bottom="1440" w:gutter="0" w:footer="0" w:header="0"/>
        </w:sectPr>
      </w:pPr>
    </w:p>
    <w:bookmarkStart w:id="33" w:name="page34"/>
    <w:bookmarkEnd w:id="33"/>
    <w:p>
      <w:pPr>
        <w:ind w:right="40" w:firstLine="1304"/>
        <w:spacing w:after="0" w:line="261" w:lineRule="auto"/>
        <w:tabs>
          <w:tab w:leader="none" w:pos="16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 and</w:t>
      </w:r>
    </w:p>
    <w:p>
      <w:pPr>
        <w:spacing w:after="0" w:line="179" w:lineRule="exact"/>
        <w:rPr>
          <w:rFonts w:ascii="Times New Roman" w:cs="Times New Roman" w:eastAsia="Times New Roman" w:hAnsi="Times New Roman"/>
          <w:sz w:val="18"/>
          <w:szCs w:val="18"/>
          <w:color w:val="auto"/>
        </w:rPr>
      </w:pPr>
    </w:p>
    <w:p>
      <w:pPr>
        <w:ind w:right="140" w:firstLine="1304"/>
        <w:spacing w:after="0" w:line="261" w:lineRule="auto"/>
        <w:tabs>
          <w:tab w:leader="none" w:pos="16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the Rule 430B Information, the General Disclosure Package or the Prospectus (or any amendment or supplement thereto) in reliance upon and in conformity with the Underwriter Information.</w:t>
      </w:r>
    </w:p>
    <w:p>
      <w:pPr>
        <w:spacing w:after="0" w:line="178" w:lineRule="exact"/>
        <w:rPr>
          <w:sz w:val="20"/>
          <w:szCs w:val="20"/>
          <w:color w:val="auto"/>
        </w:rPr>
      </w:pPr>
    </w:p>
    <w:p>
      <w:pPr>
        <w:ind w:firstLine="656"/>
        <w:spacing w:after="0" w:line="257" w:lineRule="auto"/>
        <w:tabs>
          <w:tab w:leader="none" w:pos="139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 Directors and Senior Management</w:t>
      </w:r>
      <w:r>
        <w:rPr>
          <w:rFonts w:ascii="Times New Roman" w:cs="Times New Roman" w:eastAsia="Times New Roman" w:hAnsi="Times New Roman"/>
          <w:sz w:val="18"/>
          <w:szCs w:val="18"/>
          <w:color w:val="auto"/>
        </w:rPr>
        <w:t>. Each Underwriter severally and not jointly agrees to indemnify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 harmless the Company, its directors, and each of its senior managers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430B Information, the General Disclosure Package or the Prospectus (or any amendment or supplement thereto) in reliance upon and in conformity with the Underwriter Information.</w:t>
      </w:r>
    </w:p>
    <w:p>
      <w:pPr>
        <w:spacing w:after="0" w:line="182" w:lineRule="exact"/>
        <w:rPr>
          <w:rFonts w:ascii="Times New Roman" w:cs="Times New Roman" w:eastAsia="Times New Roman" w:hAnsi="Times New Roman"/>
          <w:sz w:val="18"/>
          <w:szCs w:val="18"/>
          <w:color w:val="auto"/>
        </w:rPr>
      </w:pPr>
    </w:p>
    <w:p>
      <w:pPr>
        <w:ind w:right="100" w:firstLine="656"/>
        <w:spacing w:after="0" w:line="252" w:lineRule="auto"/>
        <w:tabs>
          <w:tab w:leader="none" w:pos="138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 (b)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the reasonable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right="20" w:firstLine="656"/>
        <w:spacing w:after="0" w:line="257" w:lineRule="auto"/>
        <w:tabs>
          <w:tab w:leader="none" w:pos="139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 the indemnified party for reasonable fees and expenses of counsel, such indemnifying party agrees that it shall be liable for any settlement of the nature contemplated by Section 6(a)(ii) or settlement of any claim in connection with any violation referred to in Section 6(e) effected without its written consent if (i) such settlement is entered into more than 60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rFonts w:ascii="Times New Roman" w:cs="Times New Roman" w:eastAsia="Times New Roman" w:hAnsi="Times New Roman"/>
          <w:sz w:val="18"/>
          <w:szCs w:val="18"/>
          <w:color w:val="auto"/>
        </w:rPr>
      </w:pPr>
    </w:p>
    <w:p>
      <w:pPr>
        <w:ind w:firstLine="656"/>
        <w:spacing w:after="0" w:line="272" w:lineRule="auto"/>
        <w:tabs>
          <w:tab w:leader="none" w:pos="138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agreements contained in Section 6 and Section 7 and the representations and warranties of the Company set forth in this Agreement shall remain operative and in full force and effect, regardless of (i) any investigation made by or on behalf of any Underwriter, its directors or officers or any person controlling any Underwriter, the Company, its directors or officers or any persons controlling the Company,</w:t>
      </w:r>
    </w:p>
    <w:p>
      <w:pPr>
        <w:spacing w:after="0" w:line="1" w:lineRule="exact"/>
        <w:rPr>
          <w:rFonts w:ascii="Times New Roman" w:cs="Times New Roman" w:eastAsia="Times New Roman" w:hAnsi="Times New Roman"/>
          <w:sz w:val="17"/>
          <w:szCs w:val="17"/>
          <w:color w:val="auto"/>
        </w:rPr>
      </w:pPr>
    </w:p>
    <w:p>
      <w:pPr>
        <w:jc w:val="both"/>
        <w:ind w:right="80" w:firstLine="8"/>
        <w:spacing w:after="0" w:line="255" w:lineRule="auto"/>
        <w:tabs>
          <w:tab w:leader="none" w:pos="2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any Securities and payment therefor hereunder, and (iii) any termination of this Agreement. A successor to any Underwriter, its directors or officers or any person controlling any Underwriter, or to the Company, its directors or officers, or any person controlling the Company, shall be entitled to the benefits of the indemnity, contribution and reimbursement agreements contained in Section 6 and Section 7.</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or in connection with any violation of the nature referred to in Section 6(e) hereof, which resulted in such losses, liabilities, claims, damages or expenses, as well as any other relevant equitable considerations.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35" w:name="page36"/>
    <w:bookmarkEnd w:id="35"/>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offering price of the Securities as set forth on the cover of the Prospectus.</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or any violation of the nature referred to in Section 6(e) hereof.</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in this Section 7. The aggregate amount of losses, liabilities, claims, damages and expenses incurred by an indemnified party and referred to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Securities set forth opposite their respective names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 not joint.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6" w:name="page37"/>
    <w:bookmarkEnd w:id="36"/>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w:t>
      </w:r>
      <w:r>
        <w:rPr>
          <w:rFonts w:ascii="Times New Roman" w:cs="Times New Roman" w:eastAsia="Times New Roman" w:hAnsi="Times New Roman"/>
          <w:sz w:val="18"/>
          <w:szCs w:val="18"/>
          <w:color w:val="auto"/>
        </w:rPr>
        <w:t>. All representations, warranties and agreements contained in this Agreement or in certificates of the Company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8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Termination of Agreement</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firstLine="656"/>
        <w:spacing w:after="0" w:line="252" w:lineRule="auto"/>
        <w:tabs>
          <w:tab w:leader="none" w:pos="138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Representatives may terminate this Agreement in the absolute discretion of the Representatives, by notice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at any time at or prior to the Closing Time (i) if there has been, in the sole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properties or prospects of the Company and its subsidiaries, taken as a whole,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sole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Capital Market, or (iv) if trading generally on the NYSE MKT or the New York Stock Exchange or in the Nasdaq Capital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w:t>
      </w:r>
    </w:p>
    <w:p>
      <w:pPr>
        <w:spacing w:after="0" w:line="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banking moratorium has been declared by either Federal or New York authorities.</w:t>
      </w:r>
    </w:p>
    <w:p>
      <w:pPr>
        <w:spacing w:after="0" w:line="204" w:lineRule="exact"/>
        <w:rPr>
          <w:rFonts w:ascii="Times New Roman" w:cs="Times New Roman" w:eastAsia="Times New Roman" w:hAnsi="Times New Roman"/>
          <w:sz w:val="18"/>
          <w:szCs w:val="18"/>
          <w:color w:val="auto"/>
        </w:rPr>
      </w:pPr>
    </w:p>
    <w:p>
      <w:pPr>
        <w:ind w:right="80" w:firstLine="656"/>
        <w:spacing w:after="0" w:line="267" w:lineRule="auto"/>
        <w:tabs>
          <w:tab w:leader="none" w:pos="13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9, such termination shall be without liability of any party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party except as provided in Section 4 hereof, and provided further that Sections 1, 6, 7, 8, 14, 15 and 16 shall survive such termination and remain in full force and effect.</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Default by One or More of the Underwriters</w:t>
      </w:r>
      <w:r>
        <w:rPr>
          <w:rFonts w:ascii="Times New Roman" w:cs="Times New Roman" w:eastAsia="Times New Roman" w:hAnsi="Times New Roman"/>
          <w:sz w:val="18"/>
          <w:szCs w:val="18"/>
          <w:color w:val="auto"/>
        </w:rPr>
        <w:t>. If one or more of the Underwriters shall fail at the Closing Time to purchase the Securities which it or they are obligated to purchase under this Agreement (the “</w:t>
      </w:r>
      <w:r>
        <w:rPr>
          <w:rFonts w:ascii="Times New Roman" w:cs="Times New Roman" w:eastAsia="Times New Roman" w:hAnsi="Times New Roman"/>
          <w:sz w:val="18"/>
          <w:szCs w:val="18"/>
          <w:u w:val="single" w:color="auto"/>
          <w:color w:val="auto"/>
        </w:rPr>
        <w:t>Defaulted Securities</w:t>
      </w:r>
      <w:r>
        <w:rPr>
          <w:rFonts w:ascii="Times New Roman" w:cs="Times New Roman" w:eastAsia="Times New Roman" w:hAnsi="Times New Roman"/>
          <w:sz w:val="18"/>
          <w:szCs w:val="18"/>
          <w:color w:val="auto"/>
        </w:rPr>
        <w:t>”),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7" w:name="page38"/>
    <w:bookmarkEnd w:id="37"/>
    <w:p>
      <w:pPr>
        <w:ind w:right="20" w:firstLine="1304"/>
        <w:spacing w:after="0" w:line="266" w:lineRule="auto"/>
        <w:tabs>
          <w:tab w:leader="none" w:pos="15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75" w:lineRule="exact"/>
        <w:rPr>
          <w:rFonts w:ascii="Times New Roman" w:cs="Times New Roman" w:eastAsia="Times New Roman" w:hAnsi="Times New Roman"/>
          <w:sz w:val="18"/>
          <w:szCs w:val="18"/>
          <w:color w:val="auto"/>
        </w:rPr>
      </w:pPr>
    </w:p>
    <w:p>
      <w:pPr>
        <w:ind w:right="220" w:firstLine="1304"/>
        <w:spacing w:after="0" w:line="282" w:lineRule="auto"/>
        <w:tabs>
          <w:tab w:leader="none" w:pos="16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exceeds 10% of the number of Securities to be purchased on such date, this Agreement shall terminate without liability on the part of any non-defaulting Underwriter.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action taken pursuant to this Section 10 shall relieve any defaulting Underwriter from liability in respect of its default.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any such default which does not result in a termination of this Agreement, either the (i) Representatives or (ii) the Company shall have the right to postpone the Closing Time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8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hereunder shall be in writing and shall be deemed to have been duly given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mailed or transmitted by any standard form of telecommunication. Notices to the Underwriters shall be directed to BofA Securities, Inc., 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 Email: dg.ecm_execution_services@bofa.com, Attention: Syndicate Department with a copy to: 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dg.ecm_legal@bofa.com, Attention: ECM Legal; Evercore Group L.L.C., 55 East 52nd Street, New York, New York 10055, Attention: ECM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 and Cantor Fitzgerald &amp; Co., 110 East 59th Street, New York, New York 10022 (fax: (212) 307-3730), Attention: Capital Markets; notices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be directed to it at ProQR Therapeutics N.V., Zernikedreef 9, 2333 CK Leiden, the Netherlands, attention of the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+ 31 88 166 7000).</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(a) the purchase and sale of the Securities pursuant to this Agreement, including the determination of the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or its shareholders,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8" w:name="page39"/>
    <w:bookmarkEnd w:id="38"/>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9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Trial by Jury</w:t>
      </w:r>
      <w:r>
        <w:rPr>
          <w:rFonts w:ascii="Times New Roman" w:cs="Times New Roman" w:eastAsia="Times New Roman" w:hAnsi="Times New Roman"/>
          <w:sz w:val="18"/>
          <w:szCs w:val="18"/>
          <w:color w:val="auto"/>
        </w:rPr>
        <w:t>. The Company (on its behalf and, to the extent permitted by applicable law, on behalf of its shareholders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8"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17.</w:t>
      </w:r>
      <w:r>
        <w:rPr>
          <w:sz w:val="20"/>
          <w:szCs w:val="20"/>
          <w:color w:val="auto"/>
        </w:rPr>
        <w:tab/>
      </w:r>
      <w:r>
        <w:rPr>
          <w:rFonts w:ascii="Times New Roman" w:cs="Times New Roman" w:eastAsia="Times New Roman" w:hAnsi="Times New Roman"/>
          <w:sz w:val="17"/>
          <w:szCs w:val="17"/>
          <w:u w:val="single" w:color="auto"/>
          <w:color w:val="auto"/>
        </w:rPr>
        <w:t>Recognition of the U.S. Special Resolution Regimes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656"/>
        <w:spacing w:after="0" w:line="261" w:lineRule="auto"/>
        <w:tabs>
          <w:tab w:leader="none" w:pos="8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right="20" w:firstLine="656"/>
        <w:spacing w:after="0" w:line="261" w:lineRule="auto"/>
        <w:tabs>
          <w:tab w:leader="none" w:pos="90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used in this Section 17,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DAC6</w:t>
      </w:r>
      <w:r>
        <w:rPr>
          <w:rFonts w:ascii="Times New Roman" w:cs="Times New Roman" w:eastAsia="Times New Roman" w:hAnsi="Times New Roman"/>
          <w:sz w:val="18"/>
          <w:szCs w:val="18"/>
          <w:color w:val="auto"/>
        </w:rPr>
        <w:t>. Nothing in this Agreement shall prevent disclosure of any confidential information or other matter to the extent that preventing that disclosure would otherwise cause any transaction contemplated by this Agreement to become (part of) an arrangement described in Part II A 1 of Annex IV of DAC6.</w:t>
      </w:r>
    </w:p>
    <w:p>
      <w:pPr>
        <w:spacing w:after="0" w:line="176" w:lineRule="exact"/>
        <w:rPr>
          <w:sz w:val="20"/>
          <w:szCs w:val="20"/>
          <w:color w:val="auto"/>
        </w:rPr>
      </w:pPr>
    </w:p>
    <w:p>
      <w:pPr>
        <w:jc w:val="center"/>
        <w:ind w:right="80"/>
        <w:spacing w:after="0"/>
        <w:tabs>
          <w:tab w:leader="none" w:pos="30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u w:val="single" w:color="auto"/>
          <w:color w:val="auto"/>
        </w:rPr>
        <w:t>Effect of Headings</w:t>
      </w:r>
      <w:r>
        <w:rPr>
          <w:rFonts w:ascii="Times New Roman" w:cs="Times New Roman" w:eastAsia="Times New Roman" w:hAnsi="Times New Roman"/>
          <w:sz w:val="17"/>
          <w:szCs w:val="17"/>
          <w:color w:val="auto"/>
        </w:rPr>
        <w:t>. The Section headings herein are for convenience only and shall not affect the construction hereof.</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PROQR THERAPEUTICS N.V.</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Daniel A. de Boer</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Daniel A. de Boer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CONFIRMED AND 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Gloria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Gloria Tang</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David Ke</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Asif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Asif Ahmed</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themselves and as Representatives of the other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23"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offering price per share for the Securities shall be $1.81.</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purchase price per share for the Securities to be paid by the several Underwriters shall be: $1.7014, subject to adjustment in accordance with Section 2(b) for dividends or distributions declared by the Company and payable on the Securities.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9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Underwriter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09"/>
        </w:trPr>
        <w:tc>
          <w:tcPr>
            <w:tcW w:w="9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BofA Securities, Inc.</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8,839,779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Group L.L.C.</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8,287,293</w:t>
            </w:r>
          </w:p>
        </w:tc>
      </w:tr>
      <w:tr>
        <w:trPr>
          <w:trHeight w:val="216"/>
        </w:trPr>
        <w:tc>
          <w:tcPr>
            <w:tcW w:w="9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Cantor Fitzgerald &amp; Co.</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7,734,807</w:t>
            </w:r>
          </w:p>
        </w:tc>
      </w:tr>
      <w:tr>
        <w:trPr>
          <w:trHeight w:val="229"/>
        </w:trPr>
        <w:tc>
          <w:tcPr>
            <w:tcW w:w="9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Oppenheimer &amp; Co. Inc.</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2,762,431</w:t>
            </w:r>
          </w:p>
        </w:tc>
      </w:tr>
      <w:tr>
        <w:trPr>
          <w:trHeight w:val="223"/>
        </w:trPr>
        <w:tc>
          <w:tcPr>
            <w:tcW w:w="9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27,624,310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ind w:right="-1112"/>
        <w:spacing w:after="0"/>
        <w:rPr>
          <w:sz w:val="20"/>
          <w:szCs w:val="20"/>
          <w:color w:val="auto"/>
        </w:rPr>
      </w:pPr>
      <w:r>
        <w:rPr>
          <w:rFonts w:ascii="Times New Roman" w:cs="Times New Roman" w:eastAsia="Times New Roman" w:hAnsi="Times New Roman"/>
          <w:sz w:val="18"/>
          <w:szCs w:val="18"/>
          <w:color w:val="auto"/>
        </w:rPr>
        <w:t>SCHEDULE B-1</w:t>
      </w:r>
    </w:p>
    <w:p>
      <w:pPr>
        <w:spacing w:after="0" w:line="225" w:lineRule="exact"/>
        <w:rPr>
          <w:sz w:val="20"/>
          <w:szCs w:val="20"/>
          <w:color w:val="auto"/>
        </w:rPr>
      </w:pPr>
    </w:p>
    <w:p>
      <w:pPr>
        <w:ind w:left="5112"/>
        <w:spacing w:after="0"/>
        <w:rPr>
          <w:sz w:val="20"/>
          <w:szCs w:val="20"/>
          <w:color w:val="auto"/>
        </w:rPr>
      </w:pPr>
      <w:r>
        <w:rPr>
          <w:rFonts w:ascii="Times New Roman" w:cs="Times New Roman" w:eastAsia="Times New Roman" w:hAnsi="Times New Roman"/>
          <w:sz w:val="18"/>
          <w:szCs w:val="18"/>
          <w:u w:val="single" w:color="auto"/>
          <w:color w:val="auto"/>
        </w:rPr>
        <w:t>Pricing Terms</w:t>
      </w:r>
    </w:p>
    <w:p>
      <w:pPr>
        <w:spacing w:after="0" w:line="225" w:lineRule="exact"/>
        <w:rPr>
          <w:sz w:val="20"/>
          <w:szCs w:val="20"/>
          <w:color w:val="auto"/>
        </w:rPr>
      </w:pPr>
    </w:p>
    <w:p>
      <w:pPr>
        <w:ind w:left="652" w:hanging="652"/>
        <w:spacing w:after="0"/>
        <w:tabs>
          <w:tab w:leader="none" w:pos="6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selling 27,624,310 Ordinary Shares.</w:t>
      </w:r>
    </w:p>
    <w:p>
      <w:pPr>
        <w:spacing w:after="0" w:line="225" w:lineRule="exact"/>
        <w:rPr>
          <w:sz w:val="20"/>
          <w:szCs w:val="20"/>
          <w:color w:val="auto"/>
        </w:rPr>
      </w:pPr>
    </w:p>
    <w:p>
      <w:pPr>
        <w:ind w:left="652" w:hanging="652"/>
        <w:spacing w:after="0"/>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per share for the Securities shall be $1.81.</w:t>
      </w:r>
    </w:p>
    <w:p>
      <w:pPr>
        <w:spacing w:after="0" w:line="200" w:lineRule="exact"/>
        <w:rPr>
          <w:sz w:val="20"/>
          <w:szCs w:val="20"/>
          <w:color w:val="auto"/>
        </w:rPr>
      </w:pPr>
    </w:p>
    <w:p>
      <w:pPr>
        <w:spacing w:after="0" w:line="241" w:lineRule="exact"/>
        <w:rPr>
          <w:sz w:val="20"/>
          <w:szCs w:val="20"/>
          <w:color w:val="auto"/>
        </w:rPr>
      </w:pPr>
    </w:p>
    <w:p>
      <w:pPr>
        <w:ind w:left="5252"/>
        <w:spacing w:after="0"/>
        <w:rPr>
          <w:sz w:val="20"/>
          <w:szCs w:val="20"/>
          <w:color w:val="auto"/>
        </w:rPr>
      </w:pPr>
      <w:r>
        <w:rPr>
          <w:rFonts w:ascii="Times New Roman" w:cs="Times New Roman" w:eastAsia="Times New Roman" w:hAnsi="Times New Roman"/>
          <w:sz w:val="18"/>
          <w:szCs w:val="18"/>
          <w:color w:val="auto"/>
        </w:rPr>
        <w:t>Sch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904" w:right="1440" w:bottom="1440" w:gutter="0" w:footer="0" w:header="0"/>
        </w:sectPr>
      </w:pPr>
    </w:p>
    <w:bookmarkStart w:id="44" w:name="page45"/>
    <w:bookmarkEnd w:id="44"/>
    <w:p>
      <w:pPr>
        <w:jc w:val="center"/>
        <w:ind w:right="-1100"/>
        <w:spacing w:after="0"/>
        <w:rPr>
          <w:sz w:val="20"/>
          <w:szCs w:val="20"/>
          <w:color w:val="auto"/>
        </w:rPr>
      </w:pPr>
      <w:r>
        <w:rPr>
          <w:rFonts w:ascii="Times New Roman" w:cs="Times New Roman" w:eastAsia="Times New Roman" w:hAnsi="Times New Roman"/>
          <w:sz w:val="18"/>
          <w:szCs w:val="18"/>
          <w:color w:val="auto"/>
        </w:rPr>
        <w:t>SCHEDULE B-2</w:t>
      </w:r>
    </w:p>
    <w:p>
      <w:pPr>
        <w:spacing w:after="0" w:line="225"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18"/>
          <w:szCs w:val="18"/>
          <w:u w:val="single" w:color="auto"/>
          <w:color w:val="auto"/>
        </w:rPr>
        <w:t>Free Writing Prospectuses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Sch 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color w:val="auto"/>
        </w:rPr>
        <w:t>SCHEDULE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List of Persons and Entities Subject to Lock-up</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Theresa Heggie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Bart Filius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James Shannon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Daniel de Boer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Gerard Platenburg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Martin Maier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Begoña Carreño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Lykke Hinsch Gylvin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Dennis Hom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Cristina Lopez Lopez</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Sheila Sponselee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ProQR Therapeutics N.V.</w:t>
      </w:r>
    </w:p>
    <w:p>
      <w:pPr>
        <w:spacing w:after="0" w:line="22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June [•],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Evercore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East 52nd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East 59th Street,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Proposed Offering by ProQR Therapeutics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undersigned is a holder of ordinary shares, a member of the board of directors, and/or a member of senior management of ProQR Therapeutics N.V.,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undersigned understands that BofA Securities, Inc., Evercore Group L.L.C. and Cantor Fitzgerald &amp; Co.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propose to enter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the Company providing for an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the ordinary shares of the Company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In recognition of the benefit that such an offering will confer upon the undersigned, and for other good and valuable consideration, the receipt and sufficiency of which are hereby acknowledged, the undersigned agrees with each underwriter to be named in the Underwriting Agreement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that, during the period beginning on the date hereof and ending on the date that is 60 days from the date of the Underwriting Agreement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undersigned will not, without the prior written consent of the Representatives, directly or indirectly, (i) offer, pledge, sell, contract to sell, sell any option or contract to purchase, purchase any option or contract to sell, grant any option, right or warrant for the sale of, or otherwise dispose of or transfer any Ordinary Shares or any securities convertible into or exchangeable or exercisable for Ordinary Shares, including depository receipts of the Company, whether now owned or hereafter acquired by the undersigned or with respect to which the undersigned has or hereafter acquires the power of disposition (collectively, the “</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or exercise any right with respect to the registration of any of the Lock-Up Securities,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Ordinary Shares or other securities, in cash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the Lock-Up Securities during the Lock-Up Period without the prior written consent of the Representatives, provided that (1) in the case of clauses (i), (ii), (iii), (iv), (v) and (vi) below, the Representatives receive a signed agreement for the balance of the Lock-Up Period from each donee, trustee, distributee, or transferee, as the case may be, stating that such person is receiving and holding the Lock-Up Securities subject to the provisions of this lock-up agreement, (2) in the case of clauses (i), (ii), (iii), (iv), (v) and (vi), any such transfer shall not involve a disposition for value, (3) in the case of clauses (i), (ii), (iii), (vi) and (vii) below, such transfers are not required to be reported with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do not trigger any filing or reporting obligation or require any public announcement during the Lock-Up Period under any other applicable laws, and (4) in the case of clauses (i), (ii), (iii), (vi) and</w:t>
      </w:r>
    </w:p>
    <w:p>
      <w:pPr>
        <w:spacing w:after="0" w:line="3"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the undersigned does not otherwise voluntarily effect any public filing or report regarding such transfers during the Lock-Up Period:</w:t>
      </w:r>
    </w:p>
    <w:p>
      <w:pPr>
        <w:spacing w:after="0" w:line="20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or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estate planning purposes;</w:t>
      </w:r>
    </w:p>
    <w:p>
      <w:pPr>
        <w:spacing w:after="0" w:line="227" w:lineRule="exact"/>
        <w:rPr>
          <w:rFonts w:ascii="Times New Roman" w:cs="Times New Roman" w:eastAsia="Times New Roman" w:hAnsi="Times New Roman"/>
          <w:sz w:val="18"/>
          <w:szCs w:val="18"/>
          <w:color w:val="auto"/>
        </w:rPr>
      </w:pPr>
    </w:p>
    <w:p>
      <w:pPr>
        <w:jc w:val="both"/>
        <w:ind w:left="1300" w:right="140" w:hanging="644"/>
        <w:spacing w:after="0" w:line="289" w:lineRule="auto"/>
        <w:tabs>
          <w:tab w:leader="none" w:pos="130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trust or limited family partnership for the direct or indirect benefit of the undersigned or the immediate family of the undersigned or to any entity directly or indirectly wholly owned by the undersigned or the immediate family of the undersigned (for purposes of this lock-up agreement, “immediate family” shall mean any relationship by blood, marriage or adoption, not more remote than first cousin);</w:t>
      </w:r>
    </w:p>
    <w:p>
      <w:pPr>
        <w:spacing w:after="0" w:line="157" w:lineRule="exact"/>
        <w:rPr>
          <w:rFonts w:ascii="Times New Roman" w:cs="Times New Roman" w:eastAsia="Times New Roman" w:hAnsi="Times New Roman"/>
          <w:sz w:val="17"/>
          <w:szCs w:val="17"/>
          <w:color w:val="auto"/>
        </w:rPr>
      </w:pPr>
    </w:p>
    <w:p>
      <w:pPr>
        <w:ind w:left="1300" w:right="520" w:hanging="644"/>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distribution to partners, members, other shareholders or other equity holders of the undersigned (or their equivalents under the jurisdiction of the organization of the undersigned) or, if the undersigned is a trust, to the beneficiaries of the undersigned;</w:t>
      </w:r>
    </w:p>
    <w:p>
      <w:pPr>
        <w:spacing w:after="0" w:line="161"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intestate succession to the legal representative, heir, beneficiary or a member of the immediate family of the undersigned upon the death of the undersigned;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including domestic relations orders;</w:t>
      </w:r>
    </w:p>
    <w:p>
      <w:pPr>
        <w:spacing w:after="0" w:line="225" w:lineRule="exact"/>
        <w:rPr>
          <w:rFonts w:ascii="Times New Roman" w:cs="Times New Roman" w:eastAsia="Times New Roman" w:hAnsi="Times New Roman"/>
          <w:sz w:val="18"/>
          <w:szCs w:val="18"/>
          <w:color w:val="auto"/>
        </w:rPr>
      </w:pPr>
    </w:p>
    <w:p>
      <w:pPr>
        <w:ind w:left="1300" w:right="840" w:hanging="644"/>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undersigned’s affiliates or to any investment fund or other entity controlled or managed by, or under common control or management by, or any investment fund or other entity that controls or manages, the undersigned;</w:t>
      </w:r>
    </w:p>
    <w:p>
      <w:pPr>
        <w:spacing w:after="0" w:line="161" w:lineRule="exact"/>
        <w:rPr>
          <w:rFonts w:ascii="Times New Roman" w:cs="Times New Roman" w:eastAsia="Times New Roman" w:hAnsi="Times New Roman"/>
          <w:sz w:val="18"/>
          <w:szCs w:val="18"/>
          <w:color w:val="auto"/>
        </w:rPr>
      </w:pPr>
    </w:p>
    <w:p>
      <w:pPr>
        <w:jc w:val="both"/>
        <w:ind w:left="1300" w:right="120" w:hanging="644"/>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including by “net” exercise, of any options or warrants to acquire Ordinary Shares or the conversion of any convertible security into Ordinary Shares, in each case that are referred to or described in the prospectus for the Offering, so long as the Ordinary Shares received upon such exercise or conversion shall remain subject to the terms of this lock-up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8" w:name="page49"/>
    <w:bookmarkEnd w:id="48"/>
    <w:p>
      <w:pPr>
        <w:ind w:left="1300" w:right="260" w:hanging="644"/>
        <w:spacing w:after="0" w:line="258"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merger or sale of the Company pursuant to which the shareholders of the Company immediately prior to such transaction own less than 50% of the voting power of the resulting or acquiring corporation or entity after such transaction (it being further understood that this lock-up agreement shall not restrict the undersigned from entering into any agreement or arrangement in connection therewith, including an agreement to vote in favor of, or tender Ordinary Shares or other securities of the Company in, any such transaction or taking any other action in connection with any such transaction).</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Furthermore, during the Lock-Up Period, the undersigned may (a) sell Ordinary Shares of the Company purchased by the undersigned on the open market following the Offering, provided that (i) such sales are not required to be reported with the SEC, other than as required by Regulation 13D-G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do not trigger any filing or reporting obligation or require any public announcement during the Lock-up Period under any other applicable laws and (ii) the undersigned does not otherwise voluntarily effect any public filing or report regarding such sales during the Lock-Up Period, (b) establish a contract, instruction or plan (a “</w:t>
      </w:r>
      <w:r>
        <w:rPr>
          <w:rFonts w:ascii="Times New Roman" w:cs="Times New Roman" w:eastAsia="Times New Roman" w:hAnsi="Times New Roman"/>
          <w:sz w:val="18"/>
          <w:szCs w:val="18"/>
          <w:u w:val="single" w:color="auto"/>
          <w:color w:val="auto"/>
        </w:rPr>
        <w:t>10b5-1 Plan</w:t>
      </w:r>
      <w:r>
        <w:rPr>
          <w:rFonts w:ascii="Times New Roman" w:cs="Times New Roman" w:eastAsia="Times New Roman" w:hAnsi="Times New Roman"/>
          <w:sz w:val="18"/>
          <w:szCs w:val="18"/>
          <w:color w:val="auto"/>
        </w:rPr>
        <w:t>”) that complies with the requirements of Rule 10b5-1(c)(1) under the Exchange Act, at any time during the Lock-Up Period, provided that (i) such 10b5-1 Plan does not provide for the transfer of Ordinary Shares during the Lock-Up Period and (ii) no public announcement or filing under the Exchange Act shall be voluntarily made by or on behalf of the undersigned or the Company regarding the establishment of such 10b5-1 Plan, and any public disclosure by the undersigned or the Company regarding the establishment of such 10b5-1 Plan required under the Exchange Act shall include a statement that the undersigned is not permitted to transfer, sell, or otherwise dispose of securities under such trading plan during the Lock-Up Period in contravention of this lock-up agreement, or (c) sell Ordinary Shares of the Company pursuant to a 10b5-1 Plan that was in effect on the date hereof, provided that any filing required or voluntarily made under the Exchange Act shall note that such transaction was conducted pursuant to a pre-established 10b5-1 plan.</w:t>
      </w:r>
    </w:p>
    <w:p>
      <w:pPr>
        <w:spacing w:after="0" w:line="19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62"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7"/>
          <w:szCs w:val="17"/>
          <w:color w:val="auto"/>
        </w:rPr>
        <w:t>The undersigned acknowledges and agrees that the Underwriters have not provided any recommendation or investment advice nor have the Underwriters solicited any action from the undersigned with respect to the Offering, this lock-up agreement or the subject matter hereof,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the undersigned in connection with the Offering, the Underwriters have not made and are not making a recommendation to the undersigned to enter into this lock-up agreement or to transfer, sell or dispose of, or to refrain from transferring, selling or disposing of, any Ordinary Shares, and nothing set forth in such disclosures or documentation is intended to suggest that any Underwriter is making such a recommendation.</w:t>
      </w:r>
    </w:p>
    <w:p>
      <w:pPr>
        <w:spacing w:after="0" w:line="171"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This lock-up agreement shall automatically terminate, and the undersigned shall be released from its obligations hereunder, upon the earliest to occur, if any, of the following: (i) if, prior to the execution of the Underwriting Agreement, the Representatives, on behalf of the Underwriters, or the Company, advises the other party in writing that it has determined not to proceed with the Offering, (ii) the Company files an application to withdraw the registration statement related to the Offering, (iii) if the Underwriting Agreement is executed but is terminated prior to the closing of the Offering (other than the provisions thereof which survive termination), or (iv) July 31, 2026, in the event that the Underwriting Agreement has not been executed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9" w:name="page50"/>
    <w:bookmarkEnd w:id="49"/>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capacity and authority to enter into this lock-up agreement. This lock-up agreement is irrevocable and will be binding on the undersigned and the successors, heirs, personal representatives and assigns of the undersigned.</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consents to receipt of this lock-up agreement in electronic form and understands and agrees that this lock-up agreement may be signed electronically. In the event that any signature is delivered by electronic mail, or otherwise by electronic transmission evidencing an intent to sign this lock-up agreement, such electronic mail or other electronic transmission shall create a valid and binding obligation of the undersigned with the same force and effect as if such signature were an original. Execution and delivery of this lock-up agreement by electronic mail or other electronic transmission is legal, valid and binding for all purposes.</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This lock-up agreement may be delivered via facsimile, electronic mail (including pdf or any electronic signature complying with the U.S. federal ESIGN Act of 2000, e.g., www.docusign.com or www.echosign.com) or other transmission method and any copy so delivered shall be deemed to have been duly and validly delivered and be valid and effective for all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lock-up agreement shall be governed by, and construed in accordance with, the laws of the State of New York.</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50" w:name="page51"/>
    <w:bookmarkEnd w:id="50"/>
    <w:p>
      <w:pPr>
        <w:jc w:val="center"/>
        <w:ind w:right="-159"/>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0" w:lineRule="exact"/>
        <w:rPr>
          <w:sz w:val="20"/>
          <w:szCs w:val="20"/>
          <w:color w:val="auto"/>
        </w:rPr>
      </w:pPr>
    </w:p>
    <w:p>
      <w:pPr>
        <w:spacing w:after="0" w:line="26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Printed Name of Person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3" w:lineRule="exact"/>
        <w:rPr>
          <w:sz w:val="20"/>
          <w:szCs w:val="20"/>
          <w:color w:val="auto"/>
        </w:rPr>
      </w:pPr>
    </w:p>
    <w:p>
      <w:pPr>
        <w:ind w:left="4500"/>
        <w:spacing w:after="0" w:line="284" w:lineRule="auto"/>
        <w:rPr>
          <w:sz w:val="20"/>
          <w:szCs w:val="20"/>
          <w:color w:val="auto"/>
        </w:rPr>
      </w:pPr>
      <w:r>
        <w:rPr>
          <w:rFonts w:ascii="Times New Roman" w:cs="Times New Roman" w:eastAsia="Times New Roman" w:hAnsi="Times New Roman"/>
          <w:sz w:val="18"/>
          <w:szCs w:val="18"/>
          <w:i w:val="1"/>
          <w:iCs w:val="1"/>
          <w:color w:val="auto"/>
        </w:rPr>
        <w:t>(Indicate capacity of persons signing if signing as custodian or trustee, or on behalf of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404495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60"/>
          </w:cols>
          <w:pgMar w:left="1440" w:top="904" w:right="3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426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c>
          <w:tcPr>
            <w:tcW w:w="0" w:type="dxa"/>
            <w:vAlign w:val="bottom"/>
          </w:tcPr>
          <w:p>
            <w:pPr>
              <w:spacing w:after="0"/>
              <w:rPr>
                <w:sz w:val="1"/>
                <w:szCs w:val="1"/>
                <w:color w:val="auto"/>
              </w:rPr>
            </w:pPr>
          </w:p>
        </w:tc>
      </w:tr>
      <w:tr>
        <w:trPr>
          <w:trHeight w:val="41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ProQR Therapeutics N.V.</w:t>
            </w:r>
          </w:p>
        </w:tc>
        <w:tc>
          <w:tcPr>
            <w:tcW w:w="42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Allen Overy Shearman Sterling LLP</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Zernikedreef 9</w:t>
            </w:r>
          </w:p>
        </w:tc>
        <w:tc>
          <w:tcPr>
            <w:tcW w:w="5520" w:type="dxa"/>
            <w:vAlign w:val="bottom"/>
          </w:tcPr>
          <w:p>
            <w:pPr>
              <w:spacing w:after="0"/>
              <w:rPr>
                <w:sz w:val="18"/>
                <w:szCs w:val="18"/>
                <w:color w:val="auto"/>
              </w:rPr>
            </w:pPr>
          </w:p>
        </w:tc>
        <w:tc>
          <w:tcPr>
            <w:tcW w:w="42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Apollolaan 15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2333 CK Leiden</w:t>
            </w:r>
          </w:p>
        </w:tc>
        <w:tc>
          <w:tcPr>
            <w:tcW w:w="5520" w:type="dxa"/>
            <w:vAlign w:val="bottom"/>
          </w:tcPr>
          <w:p>
            <w:pPr>
              <w:spacing w:after="0"/>
              <w:rPr>
                <w:sz w:val="18"/>
                <w:szCs w:val="18"/>
                <w:color w:val="auto"/>
              </w:rPr>
            </w:pPr>
          </w:p>
        </w:tc>
        <w:tc>
          <w:tcPr>
            <w:tcW w:w="42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1077 AB Amsterdam The Netherlands</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5520" w:type="dxa"/>
            <w:vAlign w:val="bottom"/>
          </w:tcPr>
          <w:p>
            <w:pPr>
              <w:spacing w:after="0"/>
              <w:rPr>
                <w:sz w:val="20"/>
                <w:szCs w:val="20"/>
                <w:color w:val="auto"/>
              </w:rPr>
            </w:pPr>
          </w:p>
        </w:tc>
        <w:tc>
          <w:tcPr>
            <w:tcW w:w="426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PO Box 75440</w:t>
            </w: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4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42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1070 AK Amsterdam The Netherlands</w:t>
            </w:r>
          </w:p>
        </w:tc>
        <w:tc>
          <w:tcPr>
            <w:tcW w:w="0" w:type="dxa"/>
            <w:vAlign w:val="bottom"/>
          </w:tcPr>
          <w:p>
            <w:pPr>
              <w:spacing w:after="0"/>
              <w:rPr>
                <w:sz w:val="1"/>
                <w:szCs w:val="1"/>
                <w:color w:val="auto"/>
              </w:rPr>
            </w:pPr>
          </w:p>
        </w:tc>
      </w:tr>
      <w:tr>
        <w:trPr>
          <w:trHeight w:val="414"/>
        </w:trPr>
        <w:tc>
          <w:tcPr>
            <w:tcW w:w="14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2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Tel    +31 20 674 1000</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42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Fax    +31 20 674 1111</w:t>
            </w:r>
          </w:p>
        </w:tc>
        <w:tc>
          <w:tcPr>
            <w:tcW w:w="0" w:type="dxa"/>
            <w:vAlign w:val="bottom"/>
          </w:tcPr>
          <w:p>
            <w:pPr>
              <w:spacing w:after="0"/>
              <w:rPr>
                <w:sz w:val="1"/>
                <w:szCs w:val="1"/>
                <w:color w:val="auto"/>
              </w:rPr>
            </w:pPr>
          </w:p>
        </w:tc>
      </w:tr>
      <w:tr>
        <w:trPr>
          <w:trHeight w:val="41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Amsterdam,</w:t>
            </w:r>
          </w:p>
        </w:tc>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25 June 2026</w:t>
            </w: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Legal Opinion Dutch law</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Our ref</w:t>
            </w:r>
          </w:p>
        </w:tc>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0117407-0000001 UKEU_AOSHEARMAN: 130003718566</w:t>
            </w: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 Madam,</w:t>
      </w:r>
    </w:p>
    <w:p>
      <w:pPr>
        <w:spacing w:after="0" w:line="223" w:lineRule="exact"/>
        <w:rPr>
          <w:sz w:val="20"/>
          <w:szCs w:val="20"/>
          <w:color w:val="auto"/>
        </w:rPr>
      </w:pPr>
    </w:p>
    <w:p>
      <w:pPr>
        <w:jc w:val="both"/>
        <w:ind w:left="660" w:hanging="652"/>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acted as legal counsel to ProQR Therapeutics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xml:space="preserve">) incorporated under the laws of the Netherlands, with its corporate seat in Leiden (the Netherlands)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on matters of Dutch law in connection with the confidentially marketed public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xml:space="preserve">) of 27,624,310 newly issued ordinary shares in the capital of the Company (the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the Offering, the Company and BofA Securities, Inc., Evercore Group L.L.C. and Cantor Fitzgerald &amp; Co., as representatives of the several underwriters, have entered into an underwriting agreement dated 25 June 2026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legal opinion is rendered to you in order to be filed as an exhibit to the Registration Statement (as defined below).</w:t>
      </w:r>
    </w:p>
    <w:p>
      <w:pPr>
        <w:spacing w:after="0" w:line="221"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30 September 2024, the Company filed a registration statement on Form F-3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(the form in which it became effective on 10 October 2024, relating to the registration by the Company of up to $300,000,000 of any combination of securities of the types specified therein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and the form of prospectus included in it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xml:space="preserve">), as supplemented by the final prospectus supplement dated 25 June 2026, and filed with the SEC on 25 June 2026 (the </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pursuant to Rule 424(b) under the Securities Act. The term</w:t>
      </w:r>
      <w:r>
        <w:rPr>
          <w:rFonts w:ascii="Times New Roman" w:cs="Times New Roman" w:eastAsia="Times New Roman" w:hAnsi="Times New Roman"/>
          <w:sz w:val="18"/>
          <w:szCs w:val="18"/>
          <w:b w:val="1"/>
          <w:bCs w:val="1"/>
          <w:color w:val="auto"/>
        </w:rPr>
        <w:t xml:space="preserve"> Prospectus </w:t>
      </w:r>
      <w:r>
        <w:rPr>
          <w:rFonts w:ascii="Times New Roman" w:cs="Times New Roman" w:eastAsia="Times New Roman" w:hAnsi="Times New Roman"/>
          <w:sz w:val="18"/>
          <w:szCs w:val="18"/>
          <w:color w:val="auto"/>
        </w:rPr>
        <w:t>shall mean the Final Prospectus Supplement that describes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and the Offering, together with the Base Prospectus. References herein to the Prospectus shall refer to the Final Prospectus Supplement and the Base Prospectus components of such prospectus.</w:t>
      </w:r>
    </w:p>
    <w:p>
      <w:pPr>
        <w:spacing w:after="0" w:line="18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 xml:space="preserve">On 12 March 2026, the Company filed an annual report for the fiscal year ended 31 December 2025 pursuant to section 13 or 15(d) of the Securities Exchange Act of 1934 on Form 20-F with the SEC (the </w:t>
      </w:r>
      <w:r>
        <w:rPr>
          <w:rFonts w:ascii="Times New Roman" w:cs="Times New Roman" w:eastAsia="Times New Roman" w:hAnsi="Times New Roman"/>
          <w:sz w:val="18"/>
          <w:szCs w:val="18"/>
          <w:b w:val="1"/>
          <w:bCs w:val="1"/>
          <w:color w:val="auto"/>
        </w:rPr>
        <w:t>Form 20-F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Allen Overy Shearman Sterling LLP is a limited liability partnership registered in England and Wales with registered number OC306763. It is authorised and regulated by the Solicitors Regulation Authority of England and Wales (SRA number 401323). The term partner is used to refer to a member of Allen Overy Shearman Sterling LLP or an employee or consultant with equivalent standing and qualifications. A list of the members of Allen Overy Shearman Sterling LLP and of the non-members who are designated as partners is open to inspection at its registered office, One Bishops Square, London E1 6AD and at the above address.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Allen Overy Shearman Sterling LLP or an affiliated undertaking has an office in each of: Abu Dhabi, Amsterdam, Antwerp, Austin, Bangkok, Beijing, Belfast, Boston, Bratislava, Brussels, Budapest, Casablanca, Dallas, Dubai, Dublin, Düsseldorf, Frankfurt, Hamburg, Hanoi, Ho Chi Minh City, Hong Kong, Houston, Istanbul, Jakarta (associated office), Johannesburg, London, Los Angeles, Luxembourg, Madrid, Menlo Park, Milan, Munich, New York, Paris, Perth, Prague, Riyadh, Rome, San Francisco, São Paulo, Seoul, Shanghai, Silicon Valley, Singapore, Sydney, Tokyo, Toronto, Warsaw,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color w:val="auto"/>
        </w:rPr>
        <w:t>We have examined and relied upon the following documents in rendering this legal opinion:</w:t>
      </w:r>
    </w:p>
    <w:p>
      <w:pPr>
        <w:spacing w:after="0" w:line="225"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executed Underwriting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Registration Statement;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Base Prospectus;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Final Prospectus Supplement;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Form 20-F;</w:t>
      </w:r>
    </w:p>
    <w:p>
      <w:pPr>
        <w:spacing w:after="0" w:line="221"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copy of the registration of the Company in the trade register of the Chamber of Commerce (</w:t>
      </w:r>
      <w:r>
        <w:rPr>
          <w:rFonts w:ascii="Times New Roman" w:cs="Times New Roman" w:eastAsia="Times New Roman" w:hAnsi="Times New Roman"/>
          <w:sz w:val="18"/>
          <w:szCs w:val="18"/>
          <w:b w:val="1"/>
          <w:bCs w:val="1"/>
          <w:color w:val="auto"/>
        </w:rPr>
        <w:t>Trade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dated 25 June 2026,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Excerpt</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pdf copy of the written resolution of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dated 25 June 2026 (the </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xml:space="preserve">), which includes a confirmation that the general meeting resolved to authorize the board to issue shares at the annual general meeting held on 2 June 2026 (the </w:t>
      </w:r>
      <w:r>
        <w:rPr>
          <w:rFonts w:ascii="Times New Roman" w:cs="Times New Roman" w:eastAsia="Times New Roman" w:hAnsi="Times New Roman"/>
          <w:sz w:val="18"/>
          <w:szCs w:val="18"/>
          <w:b w:val="1"/>
          <w:bCs w:val="1"/>
          <w:color w:val="auto"/>
        </w:rPr>
        <w:t>AGM Resolution</w:t>
      </w:r>
      <w:r>
        <w:rPr>
          <w:rFonts w:ascii="Times New Roman" w:cs="Times New Roman" w:eastAsia="Times New Roman" w:hAnsi="Times New Roman"/>
          <w:sz w:val="18"/>
          <w:szCs w:val="18"/>
          <w:color w:val="auto"/>
        </w:rPr>
        <w:t xml:space="preserve"> and, together with the Board Resolution,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pdf copy of the internal rules for the Board adopted by the Board on 2 December 2025 (the </w:t>
      </w:r>
      <w:r>
        <w:rPr>
          <w:rFonts w:ascii="Times New Roman" w:cs="Times New Roman" w:eastAsia="Times New Roman" w:hAnsi="Times New Roman"/>
          <w:sz w:val="18"/>
          <w:szCs w:val="18"/>
          <w:b w:val="1"/>
          <w:bCs w:val="1"/>
          <w:color w:val="auto"/>
        </w:rPr>
        <w:t>Board Rules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xml:space="preserve">) of the Company dated 2 June 2026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pdf copy of the deed of conversion and amendment to the articles of association of the Company dated 23 September 2014, pursuant to which deed the Company converted from a B.V. to a N.V. (the </w:t>
      </w:r>
      <w:r>
        <w:rPr>
          <w:rFonts w:ascii="Times New Roman" w:cs="Times New Roman" w:eastAsia="Times New Roman" w:hAnsi="Times New Roman"/>
          <w:sz w:val="18"/>
          <w:szCs w:val="18"/>
          <w:b w:val="1"/>
          <w:bCs w:val="1"/>
          <w:color w:val="auto"/>
        </w:rPr>
        <w:t>Deed of Conversion</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deed of incorporation (</w:t>
      </w:r>
      <w:r>
        <w:rPr>
          <w:rFonts w:ascii="Times New Roman" w:cs="Times New Roman" w:eastAsia="Times New Roman" w:hAnsi="Times New Roman"/>
          <w:sz w:val="18"/>
          <w:szCs w:val="18"/>
          <w:i w:val="1"/>
          <w:iCs w:val="1"/>
          <w:color w:val="auto"/>
        </w:rPr>
        <w:t>akte van oprichting</w:t>
      </w:r>
      <w:r>
        <w:rPr>
          <w:rFonts w:ascii="Times New Roman" w:cs="Times New Roman" w:eastAsia="Times New Roman" w:hAnsi="Times New Roman"/>
          <w:sz w:val="18"/>
          <w:szCs w:val="18"/>
          <w:color w:val="auto"/>
        </w:rPr>
        <w:t xml:space="preserve">) of the Company (the </w:t>
      </w:r>
      <w:r>
        <w:rPr>
          <w:rFonts w:ascii="Times New Roman" w:cs="Times New Roman" w:eastAsia="Times New Roman" w:hAnsi="Times New Roman"/>
          <w:sz w:val="18"/>
          <w:szCs w:val="18"/>
          <w:b w:val="1"/>
          <w:bCs w:val="1"/>
          <w:color w:val="auto"/>
        </w:rPr>
        <w:t>Deed of Incorporation</w:t>
      </w:r>
      <w:r>
        <w:rPr>
          <w:rFonts w:ascii="Times New Roman" w:cs="Times New Roman" w:eastAsia="Times New Roman" w:hAnsi="Times New Roman"/>
          <w:sz w:val="18"/>
          <w:szCs w:val="18"/>
          <w:color w:val="auto"/>
        </w:rPr>
        <w:t>), as executed by a civil-law notary on 21 February 2012; and</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pdf copy of the Company’s shareholders’ register within the meaning of Article 2:85 of the Dutch Civil Code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Unless explicitly stated in this legal opinion, we have not examined any other agreement, deed or document entered into by or affecting the Company or any other corporate records of the Company and have not made any other inquiry concerning 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legal opinion is rendered to you at your request.</w:t>
      </w:r>
    </w:p>
    <w:p>
      <w:pPr>
        <w:spacing w:after="0" w:line="225"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assume: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the documents referred to in paragraph 1 above;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and completeness of all documents submitted to us as originals and the completeness and conformity to originals of all documents submitted to us as copies or by electronic means;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Final Prospectus Supplement has been filed with the SEC, and shall become effective, in the form referred to in this legal opinion;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left="1300" w:hanging="644"/>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that the Board Rules are the regulations as in force on the date hereof; and (ii) the Articles of Association of the Company are its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currently in force. Although not constituting conclusive evidence thereof, the Extract supports item (ii) of this assumption;</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not been dissolved (</w:t>
      </w:r>
      <w:r>
        <w:rPr>
          <w:rFonts w:ascii="Times New Roman" w:cs="Times New Roman" w:eastAsia="Times New Roman" w:hAnsi="Times New Roman"/>
          <w:sz w:val="18"/>
          <w:szCs w:val="18"/>
          <w:i w:val="1"/>
          <w:iCs w:val="1"/>
          <w:color w:val="auto"/>
        </w:rPr>
        <w:t>ontbonden</w:t>
      </w:r>
      <w:r>
        <w:rPr>
          <w:rFonts w:ascii="Times New Roman" w:cs="Times New Roman" w:eastAsia="Times New Roman" w:hAnsi="Times New Roman"/>
          <w:sz w:val="18"/>
          <w:szCs w:val="18"/>
          <w:color w:val="auto"/>
        </w:rPr>
        <w:t>), granted a moratorium (</w:t>
      </w:r>
      <w:r>
        <w:rPr>
          <w:rFonts w:ascii="Times New Roman" w:cs="Times New Roman" w:eastAsia="Times New Roman" w:hAnsi="Times New Roman"/>
          <w:sz w:val="18"/>
          <w:szCs w:val="18"/>
          <w:i w:val="1"/>
          <w:iCs w:val="1"/>
          <w:color w:val="auto"/>
        </w:rPr>
        <w:t>surseance verleend</w:t>
      </w:r>
      <w:r>
        <w:rPr>
          <w:rFonts w:ascii="Times New Roman" w:cs="Times New Roman" w:eastAsia="Times New Roman" w:hAnsi="Times New Roman"/>
          <w:sz w:val="18"/>
          <w:szCs w:val="18"/>
          <w:color w:val="auto"/>
        </w:rPr>
        <w:t>) or declared bankrupt (</w:t>
      </w:r>
      <w:r>
        <w:rPr>
          <w:rFonts w:ascii="Times New Roman" w:cs="Times New Roman" w:eastAsia="Times New Roman" w:hAnsi="Times New Roman"/>
          <w:sz w:val="18"/>
          <w:szCs w:val="18"/>
          <w:i w:val="1"/>
          <w:iCs w:val="1"/>
          <w:color w:val="auto"/>
        </w:rPr>
        <w:t>failliet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verklaard</w:t>
      </w:r>
      <w:r>
        <w:rPr>
          <w:rFonts w:ascii="Times New Roman" w:cs="Times New Roman" w:eastAsia="Times New Roman" w:hAnsi="Times New Roman"/>
          <w:sz w:val="18"/>
          <w:szCs w:val="18"/>
          <w:color w:val="auto"/>
        </w:rPr>
        <w:t>) (although not constituting conclusive evidence thereof, this assumption is supported by (i) the contents of the Excerpt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an online search in the central insolvency register on 25 June 2026;</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Deed of Incorporation is a valid notarial deed (</w:t>
      </w:r>
      <w:r>
        <w:rPr>
          <w:rFonts w:ascii="Times New Roman" w:cs="Times New Roman" w:eastAsia="Times New Roman" w:hAnsi="Times New Roman"/>
          <w:sz w:val="18"/>
          <w:szCs w:val="18"/>
          <w:i w:val="1"/>
          <w:iCs w:val="1"/>
          <w:color w:val="auto"/>
        </w:rPr>
        <w:t>authentieke akte</w:t>
      </w:r>
      <w:r>
        <w:rPr>
          <w:rFonts w:ascii="Times New Roman" w:cs="Times New Roman" w:eastAsia="Times New Roman" w:hAnsi="Times New Roman"/>
          <w:sz w:val="18"/>
          <w:szCs w:val="18"/>
          <w:color w:val="auto"/>
        </w:rPr>
        <w:t>), the contents thereof complied with the statutory requirements at the date of incorporation and there were no defects in the incorporation of the Company (not appearing on the face of the Deed of Incorporation) on the basis of which a court might dissolve the Company or deem it never to have existed;</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Deed of Conversion is a valid notarial deed (</w:t>
      </w:r>
      <w:r>
        <w:rPr>
          <w:rFonts w:ascii="Times New Roman" w:cs="Times New Roman" w:eastAsia="Times New Roman" w:hAnsi="Times New Roman"/>
          <w:sz w:val="18"/>
          <w:szCs w:val="18"/>
          <w:i w:val="1"/>
          <w:iCs w:val="1"/>
          <w:color w:val="auto"/>
        </w:rPr>
        <w:t>authentieke akte</w:t>
      </w:r>
      <w:r>
        <w:rPr>
          <w:rFonts w:ascii="Times New Roman" w:cs="Times New Roman" w:eastAsia="Times New Roman" w:hAnsi="Times New Roman"/>
          <w:sz w:val="18"/>
          <w:szCs w:val="18"/>
          <w:color w:val="auto"/>
        </w:rPr>
        <w:t>), the contents thereof complied with the statutory requirements at the date of conversion and there were no defects in the conversion of the Company from a B.V. into a N.V. (not appearing on the face of the Deed of Conversion) on the basis of which a court might nullify the conversion of the Company;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including any power of attorney therein have not been and will not be annulled, modified, revoked or rescinded and are in full force and effect as at the date hereof and each power of attorney validly authorises the person or persons purported to be granted power of attorney thereunder to represent and bind the Company vis-à-vis the other parties to the Underwriting Agreement in relation to the transactions contemplated by and for the purposes stated in the Underwriting Agreement under any applicable law other than Dutch law, and that the Resolutions have been made with due observance of the statutory requirements and the provisions of the Articles of Association relating to the convening of meetings and the making of resolutions (although not constituting conclusive evidence thereof, failure to observe such provisions is not apparent on the face thereof) and that each factual confirmation and statement in the Resolutions (including any confirmation or statement on conflict of interest (</w:t>
      </w:r>
      <w:r>
        <w:rPr>
          <w:rFonts w:ascii="Times New Roman" w:cs="Times New Roman" w:eastAsia="Times New Roman" w:hAnsi="Times New Roman"/>
          <w:sz w:val="18"/>
          <w:szCs w:val="18"/>
          <w:i w:val="1"/>
          <w:iCs w:val="1"/>
          <w:color w:val="auto"/>
        </w:rPr>
        <w:t>tegenstrijdig belang</w:t>
      </w:r>
      <w:r>
        <w:rPr>
          <w:rFonts w:ascii="Times New Roman" w:cs="Times New Roman" w:eastAsia="Times New Roman" w:hAnsi="Times New Roman"/>
          <w:sz w:val="18"/>
          <w:szCs w:val="18"/>
          <w:color w:val="auto"/>
        </w:rPr>
        <w:t>)) is correct;</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share capital of the Company consists of 110,741,219 ordinary shares in the capital of the Company and no rights have been granted to subscribe for ordinary shares, except the Company’s outstanding warrants and outstanding rights under the Company's equity incentive or stock option plans, each as disclosed in the relevant Company’s registrations with the U.S. Securities Exchange Commission. Pursuant to the authorisation for general purposes as provided for in the AGM Resolution the Company is now authorised to issue a maximum number of 159,258,781 new ordinary shares;</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opinions stated in this opinion letter will be affected by any foreign law;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documents referred to in paragraph 1 above (other than the Underwriting Agreement) were at their date (where applicable), and have through the date hereof remained, valid, accurate and in full force and effect.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legal opinion is limited to the laws of the Netherlands currently in force (unpublished case law not included), excluding tax law (except as specifically referred to herein), the laws of the EU (insofar as not implemented in Dutch law or directly applicable in the Netherlands), market abuse laws and competition or procurement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660"/>
        <w:spacing w:after="0" w:line="282" w:lineRule="auto"/>
        <w:rPr>
          <w:sz w:val="20"/>
          <w:szCs w:val="20"/>
          <w:color w:val="auto"/>
        </w:rPr>
      </w:pPr>
      <w:r>
        <w:rPr>
          <w:rFonts w:ascii="Times New Roman" w:cs="Times New Roman" w:eastAsia="Times New Roman" w:hAnsi="Times New Roman"/>
          <w:sz w:val="18"/>
          <w:szCs w:val="18"/>
          <w:color w:val="auto"/>
        </w:rPr>
        <w:t>No undertaking is assumed on our part to revise, update or amend this opinion letter in connection with or to notify or inform you of, any developments and/or changes of Dutch law subsequent to the date hereof.</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We express no opinion as to matters of fact in this legal opinion. We assume that there are no facts not disclosed to us, which could affect the conclusions in this legal opinion.</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Our willingness to render this opinion letter is based on the condition that you accept and agree that (i) the competent courts at Amsterdam, the Netherlands have exclusive jurisdiction to settle any issues of interpretation or liability arising out of or in connection with this opinion letter,</w:t>
      </w:r>
    </w:p>
    <w:p>
      <w:pPr>
        <w:jc w:val="both"/>
        <w:ind w:left="660" w:hanging="4"/>
        <w:spacing w:after="0" w:line="253" w:lineRule="auto"/>
        <w:tabs>
          <w:tab w:leader="none" w:pos="92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matters related to the legal relationship between yourself and Allen Overy Shearman Sterling LLP and all individuals associated with Allen Overy Shearman Sterling LLP, including the above submission to jurisdiction, are governed by Dutch law and the general terms and conditions of Allen Overy Shearman Sterling LLP, (iii) any liability arising out of or in connection with this opinion letter shall be limited to the amount which is paid out under the insurance policy of Allen Overy Shearman Sterling LLP in the matter concerned and (iv) no person other than Allen Overy Shearman Sterling LLP may be held liable in connection with this legal opinion.</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This legal opinion is strictly limited to the matters stated in it and does not relate to any other agreement or matter and may not be read as extending by implication to any matters not specifically referred to. Nothing in this opinion should be taken as expressing an opinion in respect of any representation, warranty or other statement or other information as to factual matters contained in any document referred to herein or examined in connection with this opinion except as expressly confirmed herein.</w:t>
      </w:r>
    </w:p>
    <w:p>
      <w:pPr>
        <w:spacing w:after="0" w:line="180"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foregoing and subject to the qualifications set out below, we are of the opinion that:</w:t>
      </w:r>
    </w:p>
    <w:p>
      <w:pPr>
        <w:spacing w:after="0" w:line="221"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status. </w:t>
      </w:r>
      <w:r>
        <w:rPr>
          <w:rFonts w:ascii="Times New Roman" w:cs="Times New Roman" w:eastAsia="Times New Roman" w:hAnsi="Times New Roman"/>
          <w:sz w:val="18"/>
          <w:szCs w:val="18"/>
          <w:color w:val="auto"/>
        </w:rPr>
        <w:t>The Company has been duly incorporated as a private limited liability company (</w:t>
      </w:r>
      <w:r>
        <w:rPr>
          <w:rFonts w:ascii="Times New Roman" w:cs="Times New Roman" w:eastAsia="Times New Roman" w:hAnsi="Times New Roman"/>
          <w:sz w:val="18"/>
          <w:szCs w:val="18"/>
          <w:i w:val="1"/>
          <w:iCs w:val="1"/>
          <w:color w:val="auto"/>
        </w:rPr>
        <w:t>besloten vennootschap met beperkte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aansprakelijkheid</w:t>
      </w:r>
      <w:r>
        <w:rPr>
          <w:rFonts w:ascii="Times New Roman" w:cs="Times New Roman" w:eastAsia="Times New Roman" w:hAnsi="Times New Roman"/>
          <w:sz w:val="18"/>
          <w:szCs w:val="18"/>
          <w:color w:val="auto"/>
        </w:rPr>
        <w:t>) and is validly existing as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the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Netherlands.</w:t>
      </w:r>
    </w:p>
    <w:p>
      <w:pPr>
        <w:spacing w:after="0" w:line="170"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Shares. </w:t>
      </w:r>
      <w:r>
        <w:rPr>
          <w:rFonts w:ascii="Times New Roman" w:cs="Times New Roman" w:eastAsia="Times New Roman" w:hAnsi="Times New Roman"/>
          <w:sz w:val="18"/>
          <w:szCs w:val="18"/>
          <w:color w:val="auto"/>
        </w:rPr>
        <w:t>Subject to receipt by the Company of payment in full for the New Shares as provided for in the Underwriting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when issued and accepted in accordance with the Underwriting Agreement, the Resolutions and the Articles of Association, the New Shares will be validly issued, fully paid and non-assessable.</w:t>
      </w:r>
    </w:p>
    <w:p>
      <w:pPr>
        <w:spacing w:after="0" w:line="17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legal opinion is subject to the following qualifications: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expressed in this legal opinion may be affected or limited by (i) the general defences available to obligors under Netherlands law in respect of the validity and enforceability of agreements; and (ii) the provisions of any applicable bankruptcy (</w:t>
      </w:r>
      <w:r>
        <w:rPr>
          <w:rFonts w:ascii="Times New Roman" w:cs="Times New Roman" w:eastAsia="Times New Roman" w:hAnsi="Times New Roman"/>
          <w:sz w:val="18"/>
          <w:szCs w:val="18"/>
          <w:i w:val="1"/>
          <w:iCs w:val="1"/>
          <w:color w:val="auto"/>
        </w:rPr>
        <w:t>faillissement</w:t>
      </w:r>
      <w:r>
        <w:rPr>
          <w:rFonts w:ascii="Times New Roman" w:cs="Times New Roman" w:eastAsia="Times New Roman" w:hAnsi="Times New Roman"/>
          <w:sz w:val="18"/>
          <w:szCs w:val="18"/>
          <w:color w:val="auto"/>
        </w:rPr>
        <w:t>), insolvency, moratorium (</w:t>
      </w:r>
      <w:r>
        <w:rPr>
          <w:rFonts w:ascii="Times New Roman" w:cs="Times New Roman" w:eastAsia="Times New Roman" w:hAnsi="Times New Roman"/>
          <w:sz w:val="18"/>
          <w:szCs w:val="18"/>
          <w:i w:val="1"/>
          <w:iCs w:val="1"/>
          <w:color w:val="auto"/>
        </w:rPr>
        <w:t>surseance van betaling</w:t>
      </w:r>
      <w:r>
        <w:rPr>
          <w:rFonts w:ascii="Times New Roman" w:cs="Times New Roman" w:eastAsia="Times New Roman" w:hAnsi="Times New Roman"/>
          <w:sz w:val="18"/>
          <w:szCs w:val="18"/>
          <w:color w:val="auto"/>
        </w:rPr>
        <w:t>), fraudulent conveyance (</w:t>
      </w:r>
      <w:r>
        <w:rPr>
          <w:rFonts w:ascii="Times New Roman" w:cs="Times New Roman" w:eastAsia="Times New Roman" w:hAnsi="Times New Roman"/>
          <w:sz w:val="18"/>
          <w:szCs w:val="18"/>
          <w:i w:val="1"/>
          <w:iCs w:val="1"/>
          <w:color w:val="auto"/>
        </w:rPr>
        <w:t>Actio Pauliana</w:t>
      </w:r>
      <w:r>
        <w:rPr>
          <w:rFonts w:ascii="Times New Roman" w:cs="Times New Roman" w:eastAsia="Times New Roman" w:hAnsi="Times New Roman"/>
          <w:sz w:val="18"/>
          <w:szCs w:val="18"/>
          <w:color w:val="auto"/>
        </w:rPr>
        <w:t>), reorganisation and other or similar laws of general application now or hereafter in effect, relating to or affecting the enforcement or protection of creditors' rights.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the opinions in paragraph 4(b) of this opinion letter, the term “non-assessable” – which term has no equivalent in Dutch – means that a holder of a share will not by reason of merely being such a holder, be subject to assessment or calls by the Company or its creditors for further payment on such share.</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Dutch law, each power of attorney (</w:t>
      </w:r>
      <w:r>
        <w:rPr>
          <w:rFonts w:ascii="Times New Roman" w:cs="Times New Roman" w:eastAsia="Times New Roman" w:hAnsi="Times New Roman"/>
          <w:sz w:val="18"/>
          <w:szCs w:val="18"/>
          <w:i w:val="1"/>
          <w:iCs w:val="1"/>
          <w:color w:val="auto"/>
        </w:rPr>
        <w:t>volmacht</w:t>
      </w:r>
      <w:r>
        <w:rPr>
          <w:rFonts w:ascii="Times New Roman" w:cs="Times New Roman" w:eastAsia="Times New Roman" w:hAnsi="Times New Roman"/>
          <w:sz w:val="18"/>
          <w:szCs w:val="18"/>
          <w:color w:val="auto"/>
        </w:rPr>
        <w:t>) or mandate (</w:t>
      </w:r>
      <w:r>
        <w:rPr>
          <w:rFonts w:ascii="Times New Roman" w:cs="Times New Roman" w:eastAsia="Times New Roman" w:hAnsi="Times New Roman"/>
          <w:sz w:val="18"/>
          <w:szCs w:val="18"/>
          <w:i w:val="1"/>
          <w:iCs w:val="1"/>
          <w:color w:val="auto"/>
        </w:rPr>
        <w:t>lastgeving</w:t>
      </w:r>
      <w:r>
        <w:rPr>
          <w:rFonts w:ascii="Times New Roman" w:cs="Times New Roman" w:eastAsia="Times New Roman" w:hAnsi="Times New Roman"/>
          <w:sz w:val="18"/>
          <w:szCs w:val="18"/>
          <w:color w:val="auto"/>
        </w:rPr>
        <w:t>), whether or not irrevocable, granted by the Company will terminate by force of law and without notice, upon bankruptcy of the Company. To the extent that the appointment by the Company of a process agent would be deemed to constitute a power of attorney or a mandate, this qualification would apply.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1300" w:hanging="644"/>
        <w:spacing w:after="0" w:line="282"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does not purport to express any opinion or view on the operational rules and procedures of any clearing or settlement system or agency.</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opinion, Dutch legal concepts are expressed in English terms and not in their original Dutch terms. The concepts concerned may not always be identical to the concepts described by the English terms as such terms may be understood under the laws of other jurisdictions. This legal opinion is given on the express basis, accepted by each person who is entitled to rely on it, that this legal opinion and all rights, obligations or liability in relation to it are governed by Dutch law.</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legal opinion is given exclusively in connection with our representation of the Company and for no other purpose.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previous sentence, this opinion may be disclosed, quoted, or referred to without our written express consent (i) if such disclosure, quotation or reference without our written consent is required by law, court order or any competent regulatory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you shall notify us immediately or as soon as otherwise possible after such disclosure, quotation or reference or (ii) to the extent that such disclosure, quotation or reference is required (a) to any of your insurers in respect of any claim or potential claim against you or (b) for evidence in court or similar proceedings in which you are a defendant,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of the events referred to in (a) and (b), that you shall notify us prior to any such disclosure, reference or quotation being made.</w:t>
      </w:r>
    </w:p>
    <w:p>
      <w:pPr>
        <w:spacing w:after="0" w:line="187"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consent to the filing of this opinion letter as an exhibit to the Registration Statement and also consent to the reference to A&amp;O Shearman in the Final Prospectus Supplement under the caption “Legal Matters”.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Yours faithfully,</w:t>
      </w:r>
    </w:p>
    <w:p>
      <w:pPr>
        <w:spacing w:after="0" w:line="225" w:lineRule="exact"/>
        <w:rPr>
          <w:rFonts w:ascii="Times New Roman" w:cs="Times New Roman" w:eastAsia="Times New Roman" w:hAnsi="Times New Roman"/>
          <w:sz w:val="18"/>
          <w:szCs w:val="18"/>
          <w:color w:val="auto"/>
        </w:rPr>
      </w:pPr>
    </w:p>
    <w:p>
      <w:pPr>
        <w:ind w:left="660" w:right="7740"/>
        <w:spacing w:after="0" w:line="5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 Allen Overy Shearman Sterling LLP Allen Overy Shearman Sterling LLP</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June 25, 2026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ro</w:t>
      </w:r>
      <w:r>
        <w:rPr>
          <w:rFonts w:ascii="Times New Roman" w:cs="Times New Roman" w:eastAsia="Times New Roman" w:hAnsi="Times New Roman"/>
          <w:sz w:val="18"/>
          <w:szCs w:val="18"/>
          <w:b w:val="1"/>
          <w:bCs w:val="1"/>
          <w:color w:val="auto"/>
        </w:rPr>
        <w:t>QR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xml:space="preserve"> N.V.</w:t>
      </w:r>
      <w:r>
        <w:rPr>
          <w:rFonts w:ascii="Times New Roman" w:cs="Times New Roman" w:eastAsia="Times New Roman" w:hAnsi="Times New Roman"/>
          <w:sz w:val="18"/>
          <w:szCs w:val="18"/>
          <w:color w:val="auto"/>
        </w:rPr>
        <w:t>,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w:t>
      </w:r>
      <w:r>
        <w:rPr>
          <w:rFonts w:ascii="Times New Roman" w:cs="Times New Roman" w:eastAsia="Times New Roman" w:hAnsi="Times New Roman"/>
          <w:sz w:val="18"/>
          <w:szCs w:val="18"/>
          <w:u w:val="single" w:color="auto"/>
          <w:color w:val="auto"/>
        </w:rPr>
        <w:t>ProQR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li</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illy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color w:val="auto"/>
        </w:rPr>
        <w:t>, a corporation organized and existing under the laws of Indiana, with its principal business office located at Lilly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 Indianapolis, Indiana 46285, U.S.A. (“</w:t>
      </w:r>
      <w:r>
        <w:rPr>
          <w:rFonts w:ascii="Times New Roman" w:cs="Times New Roman" w:eastAsia="Times New Roman" w:hAnsi="Times New Roman"/>
          <w:sz w:val="18"/>
          <w:szCs w:val="18"/>
          <w:u w:val="single" w:color="auto"/>
          <w:color w:val="auto"/>
        </w:rPr>
        <w:t>Lilly</w:t>
      </w:r>
      <w:r>
        <w:rPr>
          <w:rFonts w:ascii="Times New Roman" w:cs="Times New Roman" w:eastAsia="Times New Roman" w:hAnsi="Times New Roman"/>
          <w:sz w:val="18"/>
          <w:szCs w:val="18"/>
          <w:color w:val="auto"/>
        </w:rPr>
        <w:t>”). ProQR and Lilly are each hereafter referred to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The capitalized terms used herein and not otherwise defined have the meanings given to them in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 xml:space="preserve"> attached hereto or the Amended and Restated Collaboration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the Parties entered into that certain Amended and Restated Collaboration Agreement (the “</w:t>
      </w:r>
      <w:r>
        <w:rPr>
          <w:rFonts w:ascii="Times New Roman" w:cs="Times New Roman" w:eastAsia="Times New Roman" w:hAnsi="Times New Roman"/>
          <w:sz w:val="18"/>
          <w:szCs w:val="18"/>
          <w:u w:val="single" w:color="auto"/>
          <w:color w:val="auto"/>
        </w:rPr>
        <w:t>Amended and Restated Collaboration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on December 21, 2022;</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the Parties entered into that certain Share Purchase Agreement, dated September 3, 2021 (the “</w:t>
      </w:r>
      <w:r>
        <w:rPr>
          <w:rFonts w:ascii="Times New Roman" w:cs="Times New Roman" w:eastAsia="Times New Roman" w:hAnsi="Times New Roman"/>
          <w:sz w:val="18"/>
          <w:szCs w:val="18"/>
          <w:u w:val="single" w:color="auto"/>
          <w:color w:val="auto"/>
        </w:rPr>
        <w:t>2021 SPA</w:t>
      </w:r>
      <w:r>
        <w:rPr>
          <w:rFonts w:ascii="Times New Roman" w:cs="Times New Roman" w:eastAsia="Times New Roman" w:hAnsi="Times New Roman"/>
          <w:sz w:val="18"/>
          <w:szCs w:val="18"/>
          <w:color w:val="auto"/>
        </w:rPr>
        <w:t>”), Share Purchase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December 21, 2022 (the “</w:t>
      </w:r>
      <w:r>
        <w:rPr>
          <w:rFonts w:ascii="Times New Roman" w:cs="Times New Roman" w:eastAsia="Times New Roman" w:hAnsi="Times New Roman"/>
          <w:sz w:val="18"/>
          <w:szCs w:val="18"/>
          <w:u w:val="single" w:color="auto"/>
          <w:color w:val="auto"/>
        </w:rPr>
        <w:t>2022 SPA</w:t>
      </w:r>
      <w:r>
        <w:rPr>
          <w:rFonts w:ascii="Times New Roman" w:cs="Times New Roman" w:eastAsia="Times New Roman" w:hAnsi="Times New Roman"/>
          <w:sz w:val="18"/>
          <w:szCs w:val="18"/>
          <w:color w:val="auto"/>
        </w:rPr>
        <w:t>”), and Share Purchase Agreement, dated October 22, 2024 (the “</w:t>
      </w:r>
      <w:r>
        <w:rPr>
          <w:rFonts w:ascii="Times New Roman" w:cs="Times New Roman" w:eastAsia="Times New Roman" w:hAnsi="Times New Roman"/>
          <w:sz w:val="18"/>
          <w:szCs w:val="18"/>
          <w:u w:val="single" w:color="auto"/>
          <w:color w:val="auto"/>
        </w:rPr>
        <w:t>2024 SPA</w:t>
      </w:r>
      <w:r>
        <w:rPr>
          <w:rFonts w:ascii="Times New Roman" w:cs="Times New Roman" w:eastAsia="Times New Roman" w:hAnsi="Times New Roman"/>
          <w:sz w:val="18"/>
          <w:szCs w:val="18"/>
          <w:color w:val="auto"/>
        </w:rPr>
        <w:t>,” and collectively with the 2021 SPA and 2022 SPA, the “</w:t>
      </w:r>
      <w:r>
        <w:rPr>
          <w:rFonts w:ascii="Times New Roman" w:cs="Times New Roman" w:eastAsia="Times New Roman" w:hAnsi="Times New Roman"/>
          <w:sz w:val="18"/>
          <w:szCs w:val="18"/>
          <w:u w:val="single" w:color="auto"/>
          <w:color w:val="auto"/>
        </w:rPr>
        <w:t>Prior Agreements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ProQR is contemplating a concurrent registered direct offering of Ordinary Shares (as defined below)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pursuant to Section 4.9 of the 2024 SPA, Lilly is hereby exercising its rights to participate in the Offering;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subject to the terms and the conditions set forth in this Agreement, ProQR desires to issue and sell to Lilly, and Lilly desires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ProQR, ProQR’s ordinary shares, nominal value € 0.04 per share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the Parties agree that this Agreement is not intended to replace or terminate the Prior Agreements, which remain in full force and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their respective terms.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color w:val="auto"/>
        </w:rPr>
        <w:t>, in consideration of the following mutual promises and obligations, and for good and valuable consideration, the adequacy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Parties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AND PURCHASE OF SHARES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1.1        </w:t>
      </w:r>
      <w:r>
        <w:rPr>
          <w:rFonts w:ascii="Times New Roman" w:cs="Times New Roman" w:eastAsia="Times New Roman" w:hAnsi="Times New Roman"/>
          <w:sz w:val="18"/>
          <w:szCs w:val="18"/>
          <w:b w:val="1"/>
          <w:bCs w:val="1"/>
          <w:u w:val="single" w:color="auto"/>
          <w:color w:val="auto"/>
        </w:rPr>
        <w:t>  Purchase of Shares</w:t>
      </w:r>
      <w:r>
        <w:rPr>
          <w:rFonts w:ascii="Times New Roman" w:cs="Times New Roman" w:eastAsia="Times New Roman" w:hAnsi="Times New Roman"/>
          <w:sz w:val="18"/>
          <w:szCs w:val="18"/>
          <w:color w:val="auto"/>
        </w:rPr>
        <w:t>. Subject to the terms and conditions of this Agreement, at the Closing, ProQR will issue and sell to Lilly, and Lilly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from ProQR, that number of Ordinary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equal to Lilly’s Proportionate Interest, as of immediately prior to the Execution Date, of the aggregate number of Ordinary Shares issued and sold hereunder and in connection with the Offering pursuant to that certain Underwriting Agreement, dated as of June 25, 2026, among ProQR and the representatives of the several underwriters listed on Schedule A thereto (the “</w:t>
      </w:r>
      <w:r>
        <w:rPr>
          <w:rFonts w:ascii="Times New Roman" w:cs="Times New Roman" w:eastAsia="Times New Roman" w:hAnsi="Times New Roman"/>
          <w:sz w:val="18"/>
          <w:szCs w:val="18"/>
          <w:u w:val="single" w:color="auto"/>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for a purchase price per Ordinary Share equal to the purchase price per Ordinary Share paid by investors in the Offering (the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Notwithstanding the foregoing, the number of Shares shall be reduced so that in no event shall the Purchase Price paid by Lilly for the Shares exceed $20,000,000.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1.2        </w:t>
      </w:r>
      <w:r>
        <w:rPr>
          <w:rFonts w:ascii="Times New Roman" w:cs="Times New Roman" w:eastAsia="Times New Roman" w:hAnsi="Times New Roman"/>
          <w:sz w:val="18"/>
          <w:szCs w:val="18"/>
          <w:b w:val="1"/>
          <w:bCs w:val="1"/>
          <w:u w:val="single" w:color="auto"/>
          <w:color w:val="auto"/>
        </w:rPr>
        <w:t>  Payment</w:t>
      </w:r>
      <w:r>
        <w:rPr>
          <w:rFonts w:ascii="Times New Roman" w:cs="Times New Roman" w:eastAsia="Times New Roman" w:hAnsi="Times New Roman"/>
          <w:sz w:val="18"/>
          <w:szCs w:val="18"/>
          <w:color w:val="auto"/>
        </w:rPr>
        <w:t>. At the Closing, Lilly will pay the Purchase Price by wire transfer or electronic funds transfer of immediately available funds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designated by ProQR, which account ProQR shall designate to Lilly no less than two (2) Business Days prior to the Closing Date (or on such later date as may be permitted by Lilly). ProQR consents to payment of the Purchase Price in United States dollars.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1.3        </w:t>
      </w:r>
      <w:r>
        <w:rPr>
          <w:rFonts w:ascii="Times New Roman" w:cs="Times New Roman" w:eastAsia="Times New Roman" w:hAnsi="Times New Roman"/>
          <w:sz w:val="18"/>
          <w:szCs w:val="18"/>
          <w:b w:val="1"/>
          <w:bCs w:val="1"/>
          <w:u w:val="single" w:color="auto"/>
          <w:color w:val="auto"/>
        </w:rPr>
        <w:t>  Closing</w:t>
      </w:r>
      <w:r>
        <w:rPr>
          <w:rFonts w:ascii="Times New Roman" w:cs="Times New Roman" w:eastAsia="Times New Roman" w:hAnsi="Times New Roman"/>
          <w:sz w:val="18"/>
          <w:szCs w:val="18"/>
          <w:color w:val="auto"/>
        </w:rPr>
        <w:t>. (a) The closing of the purchase and sale of the Shares hereunder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be held on the Business Day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satisfaction or waiver of the conditions to Closing set forth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such conditions at the Closing), at 10:00 a.m. Eastern Time, remotely via the exchange of documents and signatures, or at such other time, date and location as the Parties may agree in writing (email being sufficient). The date the Closing occurs is hereinafter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ProQR shall instruct its transfer agent at the Closing to register the Shares, in book-entry in the name of Lilly, and ProQR shall cause its transfer agent to deliver written confirmation of the book-entry delivery of the Shares to Lilly. ProQR will also deliver to Lilly at the Closing a certificate in form and substance reasonably satisfactory to Lilly and duly executed on behalf of ProQR by an authorized officer of ProQR, certifying that the conditions to the Closing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this Agreement have been satisfied;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At the Closing, Lilly shall deliver to ProQR a certificate in form and substance reasonably satisfactory to ProQR and duly executed on behalf of Lilly by an authorized officer of Lilly, certifying that the conditions to Closing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this Agreement have been satisfied; and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At the Closing, subject to receipt by ProQR of the Purchase Price from Lilly as contemplated by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ProQR shall deliver or cause to be delivered to Lilly a true and correct copy of the irrevocable instructions to the Transfer Agent instructing the Transfer Agent to deliver the Shares to Lilly on an expedited basis and record the Shares in the register of the Transfer Agent in book entry form.</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PROQR</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specifically contemplated by this Agreement, ProQR hereby represents and warrants as of the Execution Date and the Closing Date to Lilly that:</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2.1        </w:t>
      </w:r>
      <w:r>
        <w:rPr>
          <w:rFonts w:ascii="Times New Roman" w:cs="Times New Roman" w:eastAsia="Times New Roman" w:hAnsi="Times New Roman"/>
          <w:sz w:val="18"/>
          <w:szCs w:val="18"/>
          <w:b w:val="1"/>
          <w:bCs w:val="1"/>
          <w:u w:val="single" w:color="auto"/>
          <w:color w:val="auto"/>
        </w:rPr>
        <w:t>  Private Placement</w:t>
      </w:r>
      <w:r>
        <w:rPr>
          <w:rFonts w:ascii="Times New Roman" w:cs="Times New Roman" w:eastAsia="Times New Roman" w:hAnsi="Times New Roman"/>
          <w:sz w:val="18"/>
          <w:szCs w:val="18"/>
          <w:color w:val="auto"/>
        </w:rPr>
        <w:t>. Subject to the accuracy of the representations and warranties made by Lilly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the Shares will be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sold to Lilly in compliance with applicable exemptions from the registration and prospectus delivery requirements of the Securities Act and the registration and qualification requirements of all applicable securities laws of the states of the United States.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2.2        </w:t>
      </w:r>
      <w:r>
        <w:rPr>
          <w:rFonts w:ascii="Times New Roman" w:cs="Times New Roman" w:eastAsia="Times New Roman" w:hAnsi="Times New Roman"/>
          <w:sz w:val="18"/>
          <w:szCs w:val="18"/>
          <w:b w:val="1"/>
          <w:bCs w:val="1"/>
          <w:u w:val="single" w:color="auto"/>
          <w:color w:val="auto"/>
        </w:rPr>
        <w:t>  Organization and Qualification</w:t>
      </w:r>
      <w:r>
        <w:rPr>
          <w:rFonts w:ascii="Times New Roman" w:cs="Times New Roman" w:eastAsia="Times New Roman" w:hAnsi="Times New Roman"/>
          <w:sz w:val="18"/>
          <w:szCs w:val="18"/>
          <w:color w:val="auto"/>
        </w:rPr>
        <w:t>. ProQR is an entity duly incorporated and validly existing as a public company with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the laws of The Netherlands, with the requisite corporate power and authority to own or lease and use its properties and assets, to execute and deliver the Transaction Documents, to carry out the provisions of the Transaction Documents and to issue and sell the Shares. True and correct copies of ProQR’s Amended Articles of Association (the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as amended and in effect on the Execution Date, are filed or incorporated by reference as exhibits to the SEC Documents (defined below).</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2.3        </w:t>
      </w:r>
      <w:r>
        <w:rPr>
          <w:rFonts w:ascii="Times New Roman" w:cs="Times New Roman" w:eastAsia="Times New Roman" w:hAnsi="Times New Roman"/>
          <w:sz w:val="18"/>
          <w:szCs w:val="18"/>
          <w:b w:val="1"/>
          <w:bCs w:val="1"/>
          <w:u w:val="single" w:color="auto"/>
          <w:color w:val="auto"/>
        </w:rPr>
        <w:t>  Authorization</w:t>
      </w:r>
      <w:r>
        <w:rPr>
          <w:rFonts w:ascii="Times New Roman" w:cs="Times New Roman" w:eastAsia="Times New Roman" w:hAnsi="Times New Roman"/>
          <w:sz w:val="18"/>
          <w:szCs w:val="18"/>
          <w:color w:val="auto"/>
        </w:rPr>
        <w:t>. ProQR has the requisite corporate power and authority and has taken all requisite corporate action necessary for,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action on the part of ProQR, its officers, directors or shareholders is necessary for, (a) the authorization, execution and delivery of the Transaction Documents, (b) the authorization of the performance of all obligations of ProQR hereunder or thereunder, and (c) the sale, issuance and delivery of the Shares. The Transaction Documents, upon execution and delivery by ProQR, assuming due authorization, execution and delivery by Lilly, constitute valid and binding obligations of ProQR, enforceable in accordance with their terms, except (i) as limited by applicable bankruptcy, insolvency, reorganization, moratorium or other laws of general application affecting enforcement of creditors’ rights and (ii) general principles of equity that restrict the availability of equitable remedies.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2.4        </w:t>
      </w:r>
      <w:r>
        <w:rPr>
          <w:rFonts w:ascii="Times New Roman" w:cs="Times New Roman" w:eastAsia="Times New Roman" w:hAnsi="Times New Roman"/>
          <w:sz w:val="18"/>
          <w:szCs w:val="18"/>
          <w:b w:val="1"/>
          <w:bCs w:val="1"/>
          <w:u w:val="single" w:color="auto"/>
          <w:color w:val="auto"/>
        </w:rPr>
        <w:t>  Issuance of Shares</w:t>
      </w:r>
      <w:r>
        <w:rPr>
          <w:rFonts w:ascii="Times New Roman" w:cs="Times New Roman" w:eastAsia="Times New Roman" w:hAnsi="Times New Roman"/>
          <w:sz w:val="18"/>
          <w:szCs w:val="18"/>
          <w:color w:val="auto"/>
        </w:rPr>
        <w:t>. When issued, the Shares will be duly and validly issued and, when paid for in accordance with this Agreement,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fully paid and non-assessable, and, when delivered to Lilly at the Closing, shall be free and clear of all encumbrances and restrictions including, but not limited to, liens, encumbrances or restrictions on transfer, including preemptive rights, rights of first refusal, purchase options, call options, subscription rights or other similar rights of shareholders of ProQR, except for restrictions on transfer set forth in the Transaction Documents or imposed by applicable securities laws. Assuming the accuracy of the representations and warranties of Lilly in this Agreement, the Shares will be issued in compliance with all applicable federal securities laws and the state securities laws of Indiana, the state in which Lilly’s principal place of business is located. No stop order or suspension of trading of the Ordinary Shares has been imposed by Nasdaq or the SEC and remains in effect.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2.5        </w:t>
      </w:r>
      <w:r>
        <w:rPr>
          <w:rFonts w:ascii="Times New Roman" w:cs="Times New Roman" w:eastAsia="Times New Roman" w:hAnsi="Times New Roman"/>
          <w:sz w:val="18"/>
          <w:szCs w:val="18"/>
          <w:b w:val="1"/>
          <w:bCs w:val="1"/>
          <w:u w:val="single" w:color="auto"/>
          <w:color w:val="auto"/>
        </w:rPr>
        <w:t>  SEC Documents, Financial Statements</w:t>
      </w:r>
      <w:r>
        <w:rPr>
          <w:rFonts w:ascii="Times New Roman" w:cs="Times New Roman" w:eastAsia="Times New Roman" w:hAnsi="Times New Roman"/>
          <w:sz w:val="18"/>
          <w:szCs w:val="18"/>
          <w:color w:val="auto"/>
        </w:rPr>
        <w:t>. (a) ProQR has (i) timely filed or furnished, as applicable, all reports, schedules, forms,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documents required to be filed or furnished by it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since January 1, 2024, pursuant to the reporting requirements of the Exchange Act (all of the foregoing and all exhibits included therein and financial statements and schedules thereto and documents incorporated by reference therein, collectively,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and (ii) delivered or made available (by filing on the SEC’s electronic data gathering and retrieval system (EDGAR)) to Lilly complete copies of the SEC Documents, including, but not limited to, its Annual Report on Form 20-F for the year ended December 31, 2025 (the “</w:t>
      </w:r>
      <w:r>
        <w:rPr>
          <w:rFonts w:ascii="Times New Roman" w:cs="Times New Roman" w:eastAsia="Times New Roman" w:hAnsi="Times New Roman"/>
          <w:sz w:val="18"/>
          <w:szCs w:val="18"/>
          <w:u w:val="single" w:color="auto"/>
          <w:color w:val="auto"/>
        </w:rPr>
        <w:t>Form 20-F</w:t>
      </w:r>
      <w:r>
        <w:rPr>
          <w:rFonts w:ascii="Times New Roman" w:cs="Times New Roman" w:eastAsia="Times New Roman" w:hAnsi="Times New Roman"/>
          <w:sz w:val="18"/>
          <w:szCs w:val="18"/>
          <w:color w:val="auto"/>
        </w:rPr>
        <w:t>”). As of its date, or if amended, as of the date of the last such amendment, each SEC Document complied in all material respects with the requirements of the Exchange Act applicable to such SEC Documents, and, as of its date, or if amended, as of the date of the last such amendment, such SEC Document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(i) As of the respective dates and for the respective periods indicated, the audited consolidated financial statements (including the notes thereto) of ProQR included in the Form 20-F comply as to form in all material respects with the published rules and regulations of the SEC with respect thereto, have been prepared in accordance with IFRS applied on a consistent basis during the periods involved (except as may be indicated in the notes thereto) and fairly present in all material respects, in accordance with IFRS, the consolidated financial position of ProQR as of the dates thereof and the consolidated results of its operations and cash flows for the periods then ended.</w:t>
      </w:r>
    </w:p>
    <w:p>
      <w:pPr>
        <w:spacing w:after="0" w:line="183"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(ii)           As of the respective dates and for the respective periods indicated, the unaudited consolidated financial statements (including the notes thereto) of ProQR included in the Form 6-K filed on May 12, 2026 with the SEC comply as to form in all material respects with the published rules and regulations of the SEC with respect thereto, have been prepared in accordance with IFRS applied on a consistent basis during the periods involved (except as may be indicated in the notes thereto) and fairly present in all material respects, in accordance with IFRS, the consolidated financial position of ProQR as of the dates thereof and the consolidated results of its operations and cash flows for the periods then ended.</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The Ordinary Shares are listed on Nasdaq and registered pursuant to Section 12(b) of the Exchange Act, and ProQR has taken no action designed to or reasonably likely to have the effect of terminating the registration of the Ordinary Shares under the Exchange Act or delisting the Ordinary Shares from Nasdaq. As of the Execution Date, ProQR has not received any written notification that, and has no Knowledge that, the SEC or Nasdaq is contemplating terminating such registration or listing. ProQR is in compliance in all material respects with the requirements of Nasdaq for continued listing of the Ordinary Shares thereon.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2.6        </w:t>
      </w:r>
      <w:r>
        <w:rPr>
          <w:rFonts w:ascii="Times New Roman" w:cs="Times New Roman" w:eastAsia="Times New Roman" w:hAnsi="Times New Roman"/>
          <w:sz w:val="18"/>
          <w:szCs w:val="18"/>
          <w:b w:val="1"/>
          <w:bCs w:val="1"/>
          <w:u w:val="single" w:color="auto"/>
          <w:color w:val="auto"/>
        </w:rPr>
        <w:t>  Internal Controls; Disclosure Controls and Procedures</w:t>
      </w:r>
      <w:r>
        <w:rPr>
          <w:rFonts w:ascii="Times New Roman" w:cs="Times New Roman" w:eastAsia="Times New Roman" w:hAnsi="Times New Roman"/>
          <w:sz w:val="18"/>
          <w:szCs w:val="18"/>
          <w:color w:val="auto"/>
        </w:rPr>
        <w:t>. ProQR has established and maintains internal control over financial reporting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Rule 13a-15(f) under the Exchange Act. ProQR has implemented the “disclosure controls and procedures” (as defined in Rules 13a-15(e) and 15d-15(e) under the Exchange Act) that (a) are required in order for the principal executive officer and principal financial officer of ProQR to engage in the review and evaluation process mandated by the Exchange Act, (b) have been evaluated by management of ProQR for effectiveness as of December 31, 2025 and (c) are, to the Knowledge of ProQR, effective at a reasonable assurance level. To the Knowledge of ProQR, as of the Execution Date, ProQR is in compliance with such disclosure controls and procedures in all material respects. Each of the principal executive officer and the principal financial officer of ProQR has made all certifications required by Sections 302 and 906 of the Sarbanes-Oxley Act of 2002 with respect to all reports, schedules, forms, statements and other documents required to be filed by ProQR with the SEC. From January 1, 2022 through the Execution Date, to the Knowledge of ProQR, there have been no (i) significant deficiencies or material weaknesses in ProQR’s internal control over financial reporting (whether or not remediated), (ii) change in ProQR’s internal control over financial reporting that has materially affected, or is reasonably likely to materially affect, ProQR’s internal control over financial reporting and (iii) fraud that involves management or other employees who have a significant role in ProQR’s internal control over financial reporting.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b w:val="1"/>
          <w:bCs w:val="1"/>
          <w:color w:val="auto"/>
        </w:rPr>
        <w:t>2.7        </w:t>
      </w:r>
      <w:r>
        <w:rPr>
          <w:rFonts w:ascii="Times New Roman" w:cs="Times New Roman" w:eastAsia="Times New Roman" w:hAnsi="Times New Roman"/>
          <w:sz w:val="18"/>
          <w:szCs w:val="18"/>
          <w:b w:val="1"/>
          <w:bCs w:val="1"/>
          <w:u w:val="single" w:color="auto"/>
          <w:color w:val="auto"/>
        </w:rPr>
        <w:t>  Capitalization and Voting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The authorized share capital of ProQR amounting to €21,600,000 consists of 270,000,000 Ordinary Shares and 270,000,000 preference shares with a par value of € 0.04 per share. As of immediately prior to the Closing, there are 110,741,219 issued Ordinary Shares of which 108,393,942 are outstanding and no preference shares have been issued or are outstanding. All of the issued and outstanding Ordinary Shares (i) have been duly authorized and validly issued, (ii) are fully paid and nonassessable and (iii) were issued in material compliance with applicable federal securities laws and state securities laws and not in violation of any preemptive rights.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All of the issued and outstanding Ordinary Shares are entitled to one (1) vote per share.</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Except as disclosed in the SEC Documents, there are no (i) outstanding equity securities, options, warrants, rights (including conversion or preemptive rights, rights of first refusal, rights of first purchase, purchase options, call options or subscription rights) or other agreements pursuant to which ProQR is or may become obligated to issue or sell, any of its share capital or any other securities of ProQR other than equity securities that may have been granted pursuant to its share incentive plans, which plans are described in the SEC Documents, (ii) restrictions on the transfer of share capital of ProQR other than pursuant to federal or state securities laws or as set forth in this Agreement or (iii) obligation (contingent or otherwise) on the part of ProQR to repurchase, redeem or otherwise acquire any of its equity securities or any interests therein or to pay any dividend or make any distribution in respect thereof.</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Except as disclosed in the SEC Documents, ProQR is not a party to or subject to any agreement or understanding relating to the voting of the share capital of ProQR or the giving of written consents by a shareholder or director of ProQR or relating to the registration of the share capital of ProQR under the Securities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Except as disclosed in the SEC Documents, ProQR does not have outstanding any shareholder rights plans or “poison pill” or any similar arrangement in effect giving any Person the right to purchase any equity interest in ProQR upon the occurrence of certain events.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2.8        </w:t>
      </w:r>
      <w:r>
        <w:rPr>
          <w:rFonts w:ascii="Times New Roman" w:cs="Times New Roman" w:eastAsia="Times New Roman" w:hAnsi="Times New Roman"/>
          <w:sz w:val="18"/>
          <w:szCs w:val="18"/>
          <w:b w:val="1"/>
          <w:bCs w:val="1"/>
          <w:u w:val="single" w:color="auto"/>
          <w:color w:val="auto"/>
        </w:rPr>
        <w:t>  No Conflicts; Government Consents and Permits</w:t>
      </w:r>
      <w:r>
        <w:rPr>
          <w:rFonts w:ascii="Times New Roman" w:cs="Times New Roman" w:eastAsia="Times New Roman" w:hAnsi="Times New Roman"/>
          <w:sz w:val="18"/>
          <w:szCs w:val="18"/>
          <w:color w:val="auto"/>
        </w:rPr>
        <w:t>. (a) The execution, delivery and performance of the Transaction Documents by ProQR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consummation by ProQR of the transactions contemplated thereby (including the issuance of the Shares) will not (i) conflict with or result in a violation of any provision of ProQR’s Organizational Documents, (ii) result in any encumbrance upon any of the Shares, other than restrictions on resale pursuant to securities laws or as set forth in this Agreement, (iii) materially violate or conflict with, or result in a material breach, default, modification, acceleration of payment or termination under any provision of, or constitute a default under, any Material Contract, or (iv) result in a material violation of any law, rule, regulation, order, judgment or decree (including United States federal and state securities laws and regulations and regulations of any self-regulatory organizations) applicable to ProQR as of the Execution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ProQR is not required to obtain any consent, authorization or order of, or make any filing or registration with, any Governmental Authority in order for it to execute, deliver and perform its obligations under this Agreement in accordance with the terms hereof, or to issue and sell the Shares in accordance with the terms hereof, other than such as have been made or obtained, and except for (i) any post-Closing filings required to be made under federal or state “blue sky” or securities laws or (ii) any required filings or notifications regarding the issuance or listing of additional shares with Nasdaq.</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2.9        </w:t>
      </w:r>
      <w:r>
        <w:rPr>
          <w:rFonts w:ascii="Times New Roman" w:cs="Times New Roman" w:eastAsia="Times New Roman" w:hAnsi="Times New Roman"/>
          <w:sz w:val="18"/>
          <w:szCs w:val="18"/>
          <w:b w:val="1"/>
          <w:bCs w:val="1"/>
          <w:u w:val="single" w:color="auto"/>
          <w:color w:val="auto"/>
        </w:rPr>
        <w:t>  Litigation</w:t>
      </w:r>
      <w:r>
        <w:rPr>
          <w:rFonts w:ascii="Times New Roman" w:cs="Times New Roman" w:eastAsia="Times New Roman" w:hAnsi="Times New Roman"/>
          <w:sz w:val="18"/>
          <w:szCs w:val="18"/>
          <w:color w:val="auto"/>
        </w:rPr>
        <w:t>. Other than as set forth in the SEC Documents, there is no material action, suit, proceeding or investigation pending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ProQR has received written notice or otherwise has Knowledge) or, to ProQR’s Knowledge, threatened, against ProQR or which ProQR intends to initiate.</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2.10      </w:t>
      </w:r>
      <w:r>
        <w:rPr>
          <w:rFonts w:ascii="Times New Roman" w:cs="Times New Roman" w:eastAsia="Times New Roman" w:hAnsi="Times New Roman"/>
          <w:sz w:val="18"/>
          <w:szCs w:val="18"/>
          <w:b w:val="1"/>
          <w:bCs w:val="1"/>
          <w:u w:val="single" w:color="auto"/>
          <w:color w:val="auto"/>
        </w:rPr>
        <w:t>  Licenses and Other Rights; Compliance with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ProQR and its subsidiaries possesses such valid and current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authorizations or permits required by state, federal, provincial or foreign regulatory agencies or bodies to conduct its business as currently conducted and as described in the SEC Documents, except where the failure to so possess would not reasonably be expected to be materially adverse to ProQR and its subsidiaries, taken as a whole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Each of ProQR and its subsidiaries is not in violation of, or in default under, any of the Permits, except for such violations or defaults that would not reasonably be expected to be materially adverse to ProQR and its subsidiaries, taken as a whole. Neither ProQR nor any of its subsidiaries has received any notice of proceedings relating to the revocation or modification of, or non-compliance with, any such Permits, which if the subject of an unfavorable decision, ruling, or finding would reasonably be expected to be materially adverse to ProQR and its subsidiaries, taken as a whole.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2.11      </w:t>
      </w:r>
      <w:r>
        <w:rPr>
          <w:rFonts w:ascii="Times New Roman" w:cs="Times New Roman" w:eastAsia="Times New Roman" w:hAnsi="Times New Roman"/>
          <w:sz w:val="18"/>
          <w:szCs w:val="18"/>
          <w:b w:val="1"/>
          <w:bCs w:val="1"/>
          <w:u w:val="single" w:color="auto"/>
          <w:color w:val="auto"/>
        </w:rPr>
        <w:t>  Intellectual Property</w:t>
      </w:r>
      <w:r>
        <w:rPr>
          <w:rFonts w:ascii="Times New Roman" w:cs="Times New Roman" w:eastAsia="Times New Roman" w:hAnsi="Times New Roman"/>
          <w:sz w:val="18"/>
          <w:szCs w:val="18"/>
          <w:color w:val="auto"/>
        </w:rPr>
        <w:t>. The representations and warranties of ProQR contained in Section 10.2 of the Amended and Restated Collaboration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are, subject to the exceptions and qualifications contained therein and disclosures related thereto, true, correct and complete.</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2.12      </w:t>
      </w:r>
      <w:r>
        <w:rPr>
          <w:rFonts w:ascii="Times New Roman" w:cs="Times New Roman" w:eastAsia="Times New Roman" w:hAnsi="Times New Roman"/>
          <w:sz w:val="18"/>
          <w:szCs w:val="18"/>
          <w:b w:val="1"/>
          <w:bCs w:val="1"/>
          <w:u w:val="single" w:color="auto"/>
          <w:color w:val="auto"/>
        </w:rPr>
        <w:t>  Taxes and Tax Returns</w:t>
      </w:r>
      <w:r>
        <w:rPr>
          <w:rFonts w:ascii="Times New Roman" w:cs="Times New Roman" w:eastAsia="Times New Roman" w:hAnsi="Times New Roman"/>
          <w:sz w:val="18"/>
          <w:szCs w:val="18"/>
          <w:color w:val="auto"/>
        </w:rPr>
        <w:t>. Each of ProQR and each of its subsidiaries has timely filed (taking into account all applicable extensions)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Tax Returns required to be filed by it; all such Tax Returns were correct and complete in all material respects; and each of ProQR and each of its subsidiaries has paid (or has had paid on its behalf) to the appropriate Governmental Authority all material Taxes that have been required to be paid by it; except, in each case, with respect to matters contested (or that could be contested) in good faith or for which adequate reserves have been established in accordance with the requirements of IFRS, if any. There are no disputes pending or, to the Knowledge of ProQR, claims asserted in writing in respect of Taxes of ProQR or any of its subsidiaries for which reserves that are required to be established under IFRS have not been established.</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2.13      </w:t>
      </w:r>
      <w:r>
        <w:rPr>
          <w:rFonts w:ascii="Times New Roman" w:cs="Times New Roman" w:eastAsia="Times New Roman" w:hAnsi="Times New Roman"/>
          <w:sz w:val="18"/>
          <w:szCs w:val="18"/>
          <w:b w:val="1"/>
          <w:bCs w:val="1"/>
          <w:u w:val="single" w:color="auto"/>
          <w:color w:val="auto"/>
        </w:rPr>
        <w:t>  Absence of Certain Changes</w:t>
      </w:r>
      <w:r>
        <w:rPr>
          <w:rFonts w:ascii="Times New Roman" w:cs="Times New Roman" w:eastAsia="Times New Roman" w:hAnsi="Times New Roman"/>
          <w:sz w:val="18"/>
          <w:szCs w:val="18"/>
          <w:color w:val="auto"/>
        </w:rPr>
        <w:t>. Since December 31, 2022 through the Execution Date, except as set forth in the SEC Documents or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there has not been:</w:t>
      </w:r>
    </w:p>
    <w:p>
      <w:pPr>
        <w:spacing w:after="0" w:line="15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Any change, development, occurrence or event that has had or would reasonably be expected to have, individually or in the aggregate, a Material Adverse Effect on ProQR;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(i) any declaration, setting aside or payment of any dividends, or authorization or making of any distribution upon or with respect to any class or series of ProQR’s share capital, (ii) sale, exchange or other disposition of any material assets or rights outside the ordinary course of business of ProQR or its subsidiaries, or (iii) repurchase, redemption or other acquisition of any outstanding share capital of ProQR;</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any admission by ProQR in writing of its inability to pay its debts generally as they become due, filing or consent to the filing against it of a petition in bankruptcy or a petition to take advantage of any insolvency act, made an assignment for the benefit of creditors, consent to the appointment of a receiver for itself or for the whole or any substantial part of its property, or any petition in bankruptcy filed against it, been adjudicated a bankrupt or filed a petition or answer seeking reorganization or arrangement under the federal bankruptcy laws or any other laws of the United States or any other jurisdiction;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material Tax election made or changed, any audit settled or any amended Tax Returns filed of ProQR;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any material damage, destruction or loss (whether or not covered by insurance) involving any material asset or right of ProQR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subsidiaries;</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any sale, assignment or transfer, or any agreement to sell, assign or transfer, any material asset, liability, property, obligation or right of ProQR or any of its subsidiaries to any Person, in each case, other than in the ordinary course of business;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any material obligation or liability incurred, or any material loans or advances made, by ProQR or any of its subsidiaries to any of its or their other Affiliates, other than in the ordinary course of business;</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(h)           any purchase or acquisition, or agreement, plan or arrangement to purchase or acquire, any material property, rights or assets other than in the ordinary course of business by ProQR or any of its subsidiaries;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material waiver of any material rights or claims of ProQR or any of its subsidiaries;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(j)            any material lien upon, or adversely affecting, any material property or other material assets of ProQR or any of its subsidiaries; or</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any Contract entered into by ProQR or any of its subsidiaries to do any of the foregoing.</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2.14      </w:t>
      </w:r>
      <w:r>
        <w:rPr>
          <w:rFonts w:ascii="Times New Roman" w:cs="Times New Roman" w:eastAsia="Times New Roman" w:hAnsi="Times New Roman"/>
          <w:sz w:val="18"/>
          <w:szCs w:val="18"/>
          <w:b w:val="1"/>
          <w:bCs w:val="1"/>
          <w:u w:val="single" w:color="auto"/>
          <w:color w:val="auto"/>
        </w:rPr>
        <w:t>  No Undisclosed Material Liabilities</w:t>
      </w:r>
      <w:r>
        <w:rPr>
          <w:rFonts w:ascii="Times New Roman" w:cs="Times New Roman" w:eastAsia="Times New Roman" w:hAnsi="Times New Roman"/>
          <w:sz w:val="18"/>
          <w:szCs w:val="18"/>
          <w:color w:val="auto"/>
        </w:rPr>
        <w:t>. ProQR and its subsidiaries do not have any liabilities or obligations of any nature (whether accrued,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absolute, contingent or otherwise), except for liabilities or obligations (a) reflected or reserved against on the most recent consolidated balance sheet of ProQR included in the SEC Documents or the notes thereto, (b) incurred since the latest date of such balance sheet in the ordinary course of business or (c) that are not material to ProQR.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2.15      </w:t>
      </w:r>
      <w:r>
        <w:rPr>
          <w:rFonts w:ascii="Times New Roman" w:cs="Times New Roman" w:eastAsia="Times New Roman" w:hAnsi="Times New Roman"/>
          <w:sz w:val="18"/>
          <w:szCs w:val="18"/>
          <w:b w:val="1"/>
          <w:bCs w:val="1"/>
          <w:u w:val="single" w:color="auto"/>
          <w:color w:val="auto"/>
        </w:rPr>
        <w:t>  Material Contracts</w:t>
      </w:r>
      <w:r>
        <w:rPr>
          <w:rFonts w:ascii="Times New Roman" w:cs="Times New Roman" w:eastAsia="Times New Roman" w:hAnsi="Times New Roman"/>
          <w:sz w:val="18"/>
          <w:szCs w:val="18"/>
          <w:color w:val="auto"/>
        </w:rPr>
        <w:t>. Each Material Contract is included as an exhibit in the SEC Documents. Each Material Contract is the legal, valid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 obligation of ProQR, enforceable against ProQR in accordance with its terms, and, to the Knowledge of ProQR, is the legal, valid and binding obligation of the other party thereto, enforceable against each other party thereto in accordance with its terms, except in each case to the extent that</w:t>
      </w:r>
    </w:p>
    <w:p>
      <w:pPr>
        <w:jc w:val="both"/>
        <w:ind w:firstLine="8"/>
        <w:spacing w:after="0" w:line="253" w:lineRule="auto"/>
        <w:tabs>
          <w:tab w:leader="none" w:pos="2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enforceability may be limited by bankruptcy, insolvency, reorganization, moratorium or similar laws affecting creditors’ rights generally and by general equitable principles and (b) the indemnification provisions of certain agreements may be limited by federal or state securities laws or public policy considerations in respect thereof. ProQR is not in material breach, violation or default under any such Material Contract nor, to ProQR’s Knowledge, is any other Person counterparty to such Material Contract. ProQR has not been notified in writing that any Third Party to any Material Contract has indicated that such Third Party intends to cancel, terminate or not renew any Material Contract.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2.16      </w:t>
      </w:r>
      <w:r>
        <w:rPr>
          <w:rFonts w:ascii="Times New Roman" w:cs="Times New Roman" w:eastAsia="Times New Roman" w:hAnsi="Times New Roman"/>
          <w:sz w:val="18"/>
          <w:szCs w:val="18"/>
          <w:b w:val="1"/>
          <w:bCs w:val="1"/>
          <w:u w:val="single" w:color="auto"/>
          <w:color w:val="auto"/>
        </w:rPr>
        <w:t>  Brokers’ or Finders’ Fees</w:t>
      </w:r>
      <w:r>
        <w:rPr>
          <w:rFonts w:ascii="Times New Roman" w:cs="Times New Roman" w:eastAsia="Times New Roman" w:hAnsi="Times New Roman"/>
          <w:sz w:val="18"/>
          <w:szCs w:val="18"/>
          <w:color w:val="auto"/>
        </w:rPr>
        <w:t>. No broker, finder, investment banker, or other Person is entitled to any brokerage, finder’s or other similar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commission from ProQR in connection with the transactions contemplated by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2.17      </w:t>
      </w:r>
      <w:r>
        <w:rPr>
          <w:rFonts w:ascii="Times New Roman" w:cs="Times New Roman" w:eastAsia="Times New Roman" w:hAnsi="Times New Roman"/>
          <w:sz w:val="18"/>
          <w:szCs w:val="18"/>
          <w:b w:val="1"/>
          <w:bCs w:val="1"/>
          <w:u w:val="single" w:color="auto"/>
          <w:color w:val="auto"/>
        </w:rPr>
        <w:t>  Not an Investment Company</w:t>
      </w:r>
      <w:r>
        <w:rPr>
          <w:rFonts w:ascii="Times New Roman" w:cs="Times New Roman" w:eastAsia="Times New Roman" w:hAnsi="Times New Roman"/>
          <w:sz w:val="18"/>
          <w:szCs w:val="18"/>
          <w:color w:val="auto"/>
        </w:rPr>
        <w:t>. ProQR is not, and solely after receipt of the Purchase Price, will not be, required to register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as defined in the Investment Company Act of 1940, as amended.</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2.18      </w:t>
      </w:r>
      <w:r>
        <w:rPr>
          <w:rFonts w:ascii="Times New Roman" w:cs="Times New Roman" w:eastAsia="Times New Roman" w:hAnsi="Times New Roman"/>
          <w:sz w:val="18"/>
          <w:szCs w:val="18"/>
          <w:b w:val="1"/>
          <w:bCs w:val="1"/>
          <w:u w:val="single" w:color="auto"/>
          <w:color w:val="auto"/>
        </w:rPr>
        <w:t>  No Integration</w:t>
      </w:r>
      <w:r>
        <w:rPr>
          <w:rFonts w:ascii="Times New Roman" w:cs="Times New Roman" w:eastAsia="Times New Roman" w:hAnsi="Times New Roman"/>
          <w:sz w:val="18"/>
          <w:szCs w:val="18"/>
          <w:color w:val="auto"/>
        </w:rPr>
        <w:t>. Assuming the accuracy of the representations and warranties of Lilly, the offer, sale and issuance of the Shares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 from the registration requirements of the Securities Act, and will have been registered or qualified (or are exempt from registration and qualification) under the registration, permit or qualification requirements of all applicable state securities laws of Indiana, the state in which Lilly’s principal place of business is located. Neither ProQR nor any of its Affiliates or any Person or agent on its or their behalf has engaged in any form of general solicitation or general advertising with respect to the Shares nor have any of such Person or agent sold, offered for sale, solicited offers to sell or will solicit any offers to sell or has offered to sell or will offer to sell all or any part of the Shares to any Person or Persons so as to (a) bring the sale of such Shares by ProQR within the registration requirements of the Securities Act or the securities laws of the Netherlands or (b) cause this offering of Shares to be integrated with any prior offering of securities of ProQR for purposes of the Securities Act or any applicable shareholder approval provision of Nasdaq, nor will ProQR take any actions or steps that would cause the offering or issuance of the Shares to be integrated with other offerings.</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2.19      </w:t>
      </w:r>
      <w:r>
        <w:rPr>
          <w:rFonts w:ascii="Times New Roman" w:cs="Times New Roman" w:eastAsia="Times New Roman" w:hAnsi="Times New Roman"/>
          <w:sz w:val="18"/>
          <w:szCs w:val="18"/>
          <w:b w:val="1"/>
          <w:bCs w:val="1"/>
          <w:u w:val="single" w:color="auto"/>
          <w:color w:val="auto"/>
        </w:rPr>
        <w:t>  Foreign Corrupt Practices Act</w:t>
      </w:r>
      <w:r>
        <w:rPr>
          <w:rFonts w:ascii="Times New Roman" w:cs="Times New Roman" w:eastAsia="Times New Roman" w:hAnsi="Times New Roman"/>
          <w:sz w:val="18"/>
          <w:szCs w:val="18"/>
          <w:color w:val="auto"/>
        </w:rPr>
        <w:t>. Neither ProQR nor any of its subsidiaries nor, to ProQR’s Knowledge, any director, officer,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or other Person acting on behalf of ProQR or any of its subsidiaries has, in the course of its actions for, or on behalf of, ProQR or any of its subsidiaries (a) used any corporate funds for any unlawful contribution, gift, entertainment or other unlawful expenses relating to political activity;</w:t>
      </w:r>
    </w:p>
    <w:p>
      <w:pPr>
        <w:jc w:val="both"/>
        <w:ind w:firstLine="8"/>
        <w:spacing w:after="0" w:line="252" w:lineRule="auto"/>
        <w:tabs>
          <w:tab w:leader="none" w:pos="26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direct or indirect unlawful payment to any domestic government official, “foreign official” (as defined in the U.S. Foreign Corrupt Practices Act of 1977, as amended, and the rules and regulations thereunder (collectively,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employee from corporate funds; (c) violated or is in violation of any provision of the FCPA or, to ProQR’s Knowledge, any applicable non-U.S. anti-bribery statute or regulation; or (d) made any unlawful bribe, rebate, payoff, influence payment, kickback or other unlawful payment to any domestic government official, such foreign official or employee. ProQR and its subsidiaries have conducted their respective businesses in compliance with the FCPA and have instituted and maintain policies and procedures designed to ensure continued compliance therewith.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2.20      </w:t>
      </w:r>
      <w:r>
        <w:rPr>
          <w:rFonts w:ascii="Times New Roman" w:cs="Times New Roman" w:eastAsia="Times New Roman" w:hAnsi="Times New Roman"/>
          <w:sz w:val="18"/>
          <w:szCs w:val="18"/>
          <w:b w:val="1"/>
          <w:bCs w:val="1"/>
          <w:u w:val="single" w:color="auto"/>
          <w:color w:val="auto"/>
        </w:rPr>
        <w:t>  Money Laundering Laws</w:t>
      </w:r>
      <w:r>
        <w:rPr>
          <w:rFonts w:ascii="Times New Roman" w:cs="Times New Roman" w:eastAsia="Times New Roman" w:hAnsi="Times New Roman"/>
          <w:sz w:val="18"/>
          <w:szCs w:val="18"/>
          <w:color w:val="auto"/>
        </w:rPr>
        <w:t>. The operations of ProQR and its subsidiaries are, and have been conducted at all times, in compliance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financial recordkeeping and reporting requirements of the Currency and Foreign Transactions Reporting Act of 1970, as amended, and to ProQR’s Knowledge, the money laundering statutes of all applicable jurisdictions, the rules and regulations thereunder and any related or similar applicable rules, regulations or guidelines, issued, administered or enforced by any Governmental Authority.</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2.21      </w:t>
      </w:r>
      <w:r>
        <w:rPr>
          <w:rFonts w:ascii="Times New Roman" w:cs="Times New Roman" w:eastAsia="Times New Roman" w:hAnsi="Times New Roman"/>
          <w:sz w:val="18"/>
          <w:szCs w:val="18"/>
          <w:b w:val="1"/>
          <w:bCs w:val="1"/>
          <w:u w:val="single" w:color="auto"/>
          <w:color w:val="auto"/>
        </w:rPr>
        <w:t>  OFAC</w:t>
      </w:r>
      <w:r>
        <w:rPr>
          <w:rFonts w:ascii="Times New Roman" w:cs="Times New Roman" w:eastAsia="Times New Roman" w:hAnsi="Times New Roman"/>
          <w:sz w:val="18"/>
          <w:szCs w:val="18"/>
          <w:color w:val="auto"/>
        </w:rPr>
        <w:t>. Neither ProQR nor any of its subsidiaries nor, to ProQR’s Knowledge, any director, officer, agent, employee or Person acting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ProQR or any of its subsidiaries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ProQR will not directly or indirectly use the proceeds from the sale of the Shares, or lend, contribute or otherwise make available such proceeds to any subsidiary or any joint venture partner or other Person, for the purpose of financing the activities of or business with any Person, or in any country or territory, that currently is subject to any U.S. sanctions administered by OFAC or in any other manner that will result in a violation by ProQR or any of its subsidiaries of U.S. sanctions administered by OFAC.</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2.22      </w:t>
      </w:r>
      <w:r>
        <w:rPr>
          <w:rFonts w:ascii="Times New Roman" w:cs="Times New Roman" w:eastAsia="Times New Roman" w:hAnsi="Times New Roman"/>
          <w:sz w:val="18"/>
          <w:szCs w:val="18"/>
          <w:b w:val="1"/>
          <w:bCs w:val="1"/>
          <w:u w:val="single" w:color="auto"/>
          <w:color w:val="auto"/>
        </w:rPr>
        <w:t>  Preclinical and Clinical Data and Regulatory Compliance</w:t>
      </w:r>
      <w:r>
        <w:rPr>
          <w:rFonts w:ascii="Times New Roman" w:cs="Times New Roman" w:eastAsia="Times New Roman" w:hAnsi="Times New Roman"/>
          <w:sz w:val="18"/>
          <w:szCs w:val="18"/>
          <w:color w:val="auto"/>
        </w:rPr>
        <w:t>. Except as set forth in the SEC Documents (excluding any forward-looking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disclosures set forth in any “risk factors” section or “forward-looking statements” section thereof), as of the Execution Date, the preclinical tests and clinical trials (collectively, “</w:t>
      </w:r>
      <w:r>
        <w:rPr>
          <w:rFonts w:ascii="Times New Roman" w:cs="Times New Roman" w:eastAsia="Times New Roman" w:hAnsi="Times New Roman"/>
          <w:sz w:val="18"/>
          <w:szCs w:val="18"/>
          <w:u w:val="single" w:color="auto"/>
          <w:color w:val="auto"/>
        </w:rPr>
        <w:t>Studies</w:t>
      </w:r>
      <w:r>
        <w:rPr>
          <w:rFonts w:ascii="Times New Roman" w:cs="Times New Roman" w:eastAsia="Times New Roman" w:hAnsi="Times New Roman"/>
          <w:sz w:val="18"/>
          <w:szCs w:val="18"/>
          <w:color w:val="auto"/>
        </w:rPr>
        <w:t>”) that are described in, or the results of which are referred to in, the SEC Documents were and, if still pending, are being conducted in all material respects in accordance with the protocols, procedures and controls designed and approved for such Studies, except in each case as would not, individually or in the aggregate, reasonably be expected to be materially adverse to ProQR. Except as set forth in the SEC Documents, as of the Execution Date, neither ProQR nor any of its subsidiaries has received any written notice of, or correspondence from, any Regulatory Authority (as defined below) or institutional review board requiring the termination, suspension or material modification of any Studies that are described or referred to in the SEC Documents and ProQR and each such subsidiary have operated and currently are in compliance in all material respects with applicable laws, rules, regulations and policies of the federal, state, local or foreign agencies or bodies engaged in the regulation of pharmaceuticals and biological products such as those being developed by ProQR (collectively, “</w:t>
      </w:r>
      <w:r>
        <w:rPr>
          <w:rFonts w:ascii="Times New Roman" w:cs="Times New Roman" w:eastAsia="Times New Roman" w:hAnsi="Times New Roman"/>
          <w:sz w:val="18"/>
          <w:szCs w:val="18"/>
          <w:u w:val="single" w:color="auto"/>
          <w:color w:val="auto"/>
        </w:rPr>
        <w:t>Regulatory Authorities</w:t>
      </w:r>
      <w:r>
        <w:rPr>
          <w:rFonts w:ascii="Times New Roman" w:cs="Times New Roman" w:eastAsia="Times New Roman" w:hAnsi="Times New Roman"/>
          <w:sz w:val="18"/>
          <w:szCs w:val="18"/>
          <w:color w:val="auto"/>
        </w:rPr>
        <w:t>”), including current Good Laboratory Practices and current Good Clinical Practices, except in each case as would not, individually or in the aggregate, reasonably be expected to be materially adverse to ProQR and such subsidiaries, taken as a whole.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2.23      </w:t>
      </w:r>
      <w:r>
        <w:rPr>
          <w:rFonts w:ascii="Times New Roman" w:cs="Times New Roman" w:eastAsia="Times New Roman" w:hAnsi="Times New Roman"/>
          <w:sz w:val="18"/>
          <w:szCs w:val="18"/>
          <w:b w:val="1"/>
          <w:bCs w:val="1"/>
          <w:u w:val="single" w:color="auto"/>
          <w:color w:val="auto"/>
        </w:rPr>
        <w:t>  Regulatory Permits</w:t>
      </w:r>
      <w:r>
        <w:rPr>
          <w:rFonts w:ascii="Times New Roman" w:cs="Times New Roman" w:eastAsia="Times New Roman" w:hAnsi="Times New Roman"/>
          <w:sz w:val="18"/>
          <w:szCs w:val="18"/>
          <w:color w:val="auto"/>
        </w:rPr>
        <w:t>. Except as set forth in the SEC Documents, (a) ProQR and each of its subsidiaries have such material permits,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licenses, certificates, approvals, clearances, authorizations or amendments thereto (the “</w:t>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issued by the appropriate federal, state, local or foreign regulatory agencies or bodies necessary to conduct the business of ProQR as currently conducted and as described in the SEC Documents, including, without limitation, any Investigational New Drug Application as required by the United States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or authorizations issued by Regulatory Authorities; (b) ProQR and each such subsidiary are in compliance in all material respects with the requirements of the Regulatory Permits, and all of the Regulatory Permits are valid and in full force and effect, in each case in all material respects; (c) ProQR has not received any notice of proceedings relating to the revocation, termination, modification or impairment of any of the Regulatory Permits; (d) neither ProQR nor any such subsidiary has failed to file with the FDA or any other Regulatory Authority any material required application, submission, report, document, notice, supplement or amendment, and all such filings were in material compliance with applicable laws when filed and have been supplemented as necessary to remain in material compliance with applicable laws; and (e) no material deficiencies have been asserted by the FDA or any other Regulatory Authority with respect to any such filings; except, in each case ((a)-(e)), as would not, individually or in the aggregate, reasonably be expected to be material to ProQR.</w:t>
      </w:r>
    </w:p>
    <w:p>
      <w:pPr>
        <w:spacing w:after="0" w:line="19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2.24      </w:t>
      </w:r>
      <w:r>
        <w:rPr>
          <w:rFonts w:ascii="Times New Roman" w:cs="Times New Roman" w:eastAsia="Times New Roman" w:hAnsi="Times New Roman"/>
          <w:sz w:val="18"/>
          <w:szCs w:val="18"/>
          <w:b w:val="1"/>
          <w:bCs w:val="1"/>
          <w:u w:val="single" w:color="auto"/>
          <w:color w:val="auto"/>
        </w:rPr>
        <w:t>  Related-Party Transactions</w:t>
      </w:r>
      <w:r>
        <w:rPr>
          <w:rFonts w:ascii="Times New Roman" w:cs="Times New Roman" w:eastAsia="Times New Roman" w:hAnsi="Times New Roman"/>
          <w:sz w:val="18"/>
          <w:szCs w:val="18"/>
          <w:color w:val="auto"/>
        </w:rPr>
        <w:t>. The SEC Documents disclose all transactions between ProQR and any related parties as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disclosed in the Form 20-F.</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2.25      </w:t>
      </w:r>
      <w:r>
        <w:rPr>
          <w:rFonts w:ascii="Times New Roman" w:cs="Times New Roman" w:eastAsia="Times New Roman" w:hAnsi="Times New Roman"/>
          <w:sz w:val="18"/>
          <w:szCs w:val="18"/>
          <w:b w:val="1"/>
          <w:bCs w:val="1"/>
          <w:u w:val="single" w:color="auto"/>
          <w:color w:val="auto"/>
        </w:rPr>
        <w:t>  Subsidiaries</w:t>
      </w:r>
      <w:r>
        <w:rPr>
          <w:rFonts w:ascii="Times New Roman" w:cs="Times New Roman" w:eastAsia="Times New Roman" w:hAnsi="Times New Roman"/>
          <w:sz w:val="18"/>
          <w:szCs w:val="18"/>
          <w:color w:val="auto"/>
        </w:rPr>
        <w:t>. All of the issued and outstanding share capital of each Person, of which ProQR owns a majority of its outstanding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securities are, where applicable, validly issued, fully paid, non-assessable and free of preemptive and similar rights to subscribe for or purchase securities. Other than the Persons listed on Exhibit 8.1 to the Form 20-F, ProQR does not currently own or control, directly or indirectly, any interest in any other corporation, partnership, trust, joint venture, limited liability company, association, or other business entity. Except as disclosed in the SEC Documents, ProQR is not a participant in any material joint venture, partnership or similar arrangement.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LILLY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specifically contemplated by this Agreement, Lilly hereby represents and warrants as of the Execution Date and the Closing Date to ProQR that: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3.1        </w:t>
      </w:r>
      <w:r>
        <w:rPr>
          <w:rFonts w:ascii="Times New Roman" w:cs="Times New Roman" w:eastAsia="Times New Roman" w:hAnsi="Times New Roman"/>
          <w:sz w:val="18"/>
          <w:szCs w:val="18"/>
          <w:b w:val="1"/>
          <w:bCs w:val="1"/>
          <w:u w:val="single" w:color="auto"/>
          <w:color w:val="auto"/>
        </w:rPr>
        <w:t>  Authorization; Enforcement</w:t>
      </w:r>
      <w:r>
        <w:rPr>
          <w:rFonts w:ascii="Times New Roman" w:cs="Times New Roman" w:eastAsia="Times New Roman" w:hAnsi="Times New Roman"/>
          <w:sz w:val="18"/>
          <w:szCs w:val="18"/>
          <w:color w:val="auto"/>
        </w:rPr>
        <w:t>. Lilly is a corporation duly organized, validly existing under the laws of Indiana. Lilly has all requisite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power and authority to enter into this Agreement and to consummate the transactions contemplated hereby. Lilly has taken all necessary corporate action to authorize the execution, delivery and performance of this Agreement. Upon the execution and delivery of this Agreement by Lilly, assuming due authorization, execution and delivery by ProQR, this Agreement will constitute a valid and binding obligation of Lilly, enforceable against Lilly in accordance with its terms, except (a) as limited by applicable bankruptcy, insolvency, reorganization, moratorium or other laws of general application affecting enforcement of creditors’ rights and (b) general principles of equity that restrict the availability of equitable remedies.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3.2        </w:t>
      </w:r>
      <w:r>
        <w:rPr>
          <w:rFonts w:ascii="Times New Roman" w:cs="Times New Roman" w:eastAsia="Times New Roman" w:hAnsi="Times New Roman"/>
          <w:sz w:val="18"/>
          <w:szCs w:val="18"/>
          <w:b w:val="1"/>
          <w:bCs w:val="1"/>
          <w:u w:val="single" w:color="auto"/>
          <w:color w:val="auto"/>
        </w:rPr>
        <w:t>  No Conflicts; Government Consents</w:t>
      </w:r>
      <w:r>
        <w:rPr>
          <w:rFonts w:ascii="Times New Roman" w:cs="Times New Roman" w:eastAsia="Times New Roman" w:hAnsi="Times New Roman"/>
          <w:sz w:val="18"/>
          <w:szCs w:val="18"/>
          <w:color w:val="auto"/>
        </w:rPr>
        <w:t>. (a) The execution, delivery and performance of this Agreement by Lilly and the consummation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Lilly of the transactions contemplated hereby (including the purchase of the Shares) will not (i) conflict with or result in a violation of any provision of Lilly’s amended articles of incorporation or bylaws, as amended, (ii) materially violate or conflict with, or result in a material breach of any provision of, or constitute a default under, any material agreement, indenture or instrument to which Lilly is a party, or (iii) result in a material violation of any law, rule, regulation, order, judgment or decree (including United States federal and state securities laws and regulations and regulations of any self-regulatory organizations) applicable to Lilly as of the Execution Date.</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Lilly is not required to obtain any consent, authorization or order of, or make any filing or registration with, any Governmental Authority in order for it to execute, deliver or perform any of its obligations under this Agreement in accordance with the terms hereof, or to purchase the Shares in accordance with the terms hereof.</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3.3        </w:t>
      </w:r>
      <w:r>
        <w:rPr>
          <w:rFonts w:ascii="Times New Roman" w:cs="Times New Roman" w:eastAsia="Times New Roman" w:hAnsi="Times New Roman"/>
          <w:sz w:val="18"/>
          <w:szCs w:val="18"/>
          <w:b w:val="1"/>
          <w:bCs w:val="1"/>
          <w:u w:val="single" w:color="auto"/>
          <w:color w:val="auto"/>
        </w:rPr>
        <w:t>  Investment Purpose; Investment Experience</w:t>
      </w:r>
      <w:r>
        <w:rPr>
          <w:rFonts w:ascii="Times New Roman" w:cs="Times New Roman" w:eastAsia="Times New Roman" w:hAnsi="Times New Roman"/>
          <w:sz w:val="18"/>
          <w:szCs w:val="18"/>
          <w:color w:val="auto"/>
        </w:rPr>
        <w:t>. Lilly is purchasing the Shares for its own account and not with a present view toward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public distribution thereof and has no arrangement or understanding with any other Persons regarding the distribution of the Shares. Lilly will not, directly or indirectly, offer, sell, pledge, transfer or otherwise dispose of (or solicit any offers to buy, purchase or otherwise acquire or take a pledge of) any of the Shares except in accordance with the Securities Act and to the extent permitted by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of this Agreement. Lilly is an “accredited investor” (as defined in Regulation D under the Securities Act). Lilly has conducted its own due diligence on ProQR to its satisfaction and has such knowledge and experience in financial or business matters that it is capable of evaluating the merits and risks of the investment in the Shares to be purchased hereunder.</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3.4        </w:t>
      </w:r>
      <w:r>
        <w:rPr>
          <w:rFonts w:ascii="Times New Roman" w:cs="Times New Roman" w:eastAsia="Times New Roman" w:hAnsi="Times New Roman"/>
          <w:sz w:val="18"/>
          <w:szCs w:val="18"/>
          <w:b w:val="1"/>
          <w:bCs w:val="1"/>
          <w:u w:val="single" w:color="auto"/>
          <w:color w:val="auto"/>
        </w:rPr>
        <w:t>  Reliance on Exemptions</w:t>
      </w:r>
      <w:r>
        <w:rPr>
          <w:rFonts w:ascii="Times New Roman" w:cs="Times New Roman" w:eastAsia="Times New Roman" w:hAnsi="Times New Roman"/>
          <w:sz w:val="18"/>
          <w:szCs w:val="18"/>
          <w:color w:val="auto"/>
        </w:rPr>
        <w:t>. Lilly has not taken any of the actions set forth in, and is not subject to, the disqualification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Rule 506(d)(1) under the Securities Act and did not learn of the investment in the Shares as a result of any general solicitation or advertising. Except for the Ordinary Shares acquired pursuant to the Prior Agreements, as of the Execution Date and immediately prior to the Closing, neither Lilly nor any of its controlled Affiliates beneficially owns, or will beneficially own any securities of ProQR. Lilly understands that ProQR intends for the Shares to be offered and sold to it in reliance upon specific exemptions from the registration requirements of United States federal and state securities laws and that ProQR is relying upon the truth and accuracy of, and Lilly’s compliance with, the representations, warranties, agreements, acknowledgments and understandings of Lilly set forth herein (including in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in order to determine the availability of such exemptions and the eligibility of Lilly to acquire the Shares. For the avoidance of doubt, the representation and warranty set forth in the second sentence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be deemed not to apply to</w:t>
      </w:r>
    </w:p>
    <w:p>
      <w:pPr>
        <w:spacing w:after="0" w:line="5" w:lineRule="exact"/>
        <w:rPr>
          <w:sz w:val="20"/>
          <w:szCs w:val="20"/>
          <w:color w:val="auto"/>
        </w:rPr>
      </w:pPr>
    </w:p>
    <w:p>
      <w:pPr>
        <w:jc w:val="both"/>
        <w:ind w:firstLine="8"/>
        <w:spacing w:after="0" w:line="255" w:lineRule="auto"/>
        <w:tabs>
          <w:tab w:leader="none" w:pos="24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funds or (b) pension or other employee benefit plan administrator for any pension or other employee benefit plan for Lilly’s or its Affiliates’ employees that, in the case of (a) and (b) are not directed by Lilly, are conducted without the intent or objective of effecting a change of control of ProQR or otherwise influencing the management or policy of ProQR.</w:t>
      </w:r>
    </w:p>
    <w:p>
      <w:pPr>
        <w:spacing w:after="0" w:line="18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3.5        </w:t>
      </w:r>
      <w:r>
        <w:rPr>
          <w:rFonts w:ascii="Times New Roman" w:cs="Times New Roman" w:eastAsia="Times New Roman" w:hAnsi="Times New Roman"/>
          <w:sz w:val="18"/>
          <w:szCs w:val="18"/>
          <w:b w:val="1"/>
          <w:bCs w:val="1"/>
          <w:u w:val="single" w:color="auto"/>
          <w:color w:val="auto"/>
        </w:rPr>
        <w:t>  Governmental Review</w:t>
      </w:r>
      <w:r>
        <w:rPr>
          <w:rFonts w:ascii="Times New Roman" w:cs="Times New Roman" w:eastAsia="Times New Roman" w:hAnsi="Times New Roman"/>
          <w:sz w:val="18"/>
          <w:szCs w:val="18"/>
          <w:color w:val="auto"/>
        </w:rPr>
        <w:t>. Lilly understands that no United States federal or state agency or any other Governmental Authority has passed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or made any recommendation or endorsement of the Shares or an investment therein.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4.1        </w:t>
      </w:r>
      <w:r>
        <w:rPr>
          <w:rFonts w:ascii="Times New Roman" w:cs="Times New Roman" w:eastAsia="Times New Roman" w:hAnsi="Times New Roman"/>
          <w:sz w:val="18"/>
          <w:szCs w:val="18"/>
          <w:b w:val="1"/>
          <w:bCs w:val="1"/>
          <w:u w:val="single" w:color="auto"/>
          <w:color w:val="auto"/>
        </w:rPr>
        <w:t>  Market Listing</w:t>
      </w:r>
      <w:r>
        <w:rPr>
          <w:rFonts w:ascii="Times New Roman" w:cs="Times New Roman" w:eastAsia="Times New Roman" w:hAnsi="Times New Roman"/>
          <w:sz w:val="18"/>
          <w:szCs w:val="18"/>
          <w:color w:val="auto"/>
        </w:rPr>
        <w:t>. From the Execution Date through the Closing Date, ProQR shall use best efforts to (a) maintain the listing and trading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Ordinary Shares on Nasdaq and (b) effect the listing of the Shares on Nasdaq.</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4.2        </w:t>
      </w:r>
      <w:r>
        <w:rPr>
          <w:rFonts w:ascii="Times New Roman" w:cs="Times New Roman" w:eastAsia="Times New Roman" w:hAnsi="Times New Roman"/>
          <w:sz w:val="18"/>
          <w:szCs w:val="18"/>
          <w:b w:val="1"/>
          <w:bCs w:val="1"/>
          <w:u w:val="single" w:color="auto"/>
          <w:color w:val="auto"/>
        </w:rPr>
        <w:t>  Transfer or Resale</w:t>
      </w:r>
      <w:r>
        <w:rPr>
          <w:rFonts w:ascii="Times New Roman" w:cs="Times New Roman" w:eastAsia="Times New Roman" w:hAnsi="Times New Roman"/>
          <w:sz w:val="18"/>
          <w:szCs w:val="18"/>
          <w:color w:val="auto"/>
        </w:rPr>
        <w:t>. Lilly understands that: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the Shares have not been and are not being registered under the Securities Act or any applicable state securities laws and, consequently, Lilly may have to bear the risk of owning the Shares for an indefinite period of time because the Shares may not be transferred unless (i) the resale of the Shares is registered pursuant to an effective registration statement under the Securities Act; (ii) Lilly has delivered to ProQR an opinion of counsel (in form, substance and scope customary for opinions of counsel in comparable transactions) to the effect that the Shares to be sold or transferred may be sold or transferred pursuant to an exemption from such registration; or (iii) the Shares are sold or transferred pursuant to Rule 144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Lilly provides ProQR with reasonable assurances (including in the form of seller and broker representation letters) that the Shares may be sold pursuant to such rule).</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any sale of the Shares made in reliance on Rule 144 may be made only in accordance with the terms of Rule 144 and, if Rule 144 is not applicable, any resale of the Shares under circumstances in which the seller (or the Person through whom the sale is made) may be deemed to be an underwriter (as that term is defined in the Securities Act) may require compliance with some other exemption under the Securities Act.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For as long as Lilly or any of its Affiliates beneficially owns any Shares, to the extent it shall be required to do so under the Exchange Act, ProQR shall use reasonably best efforts to timely file the reports required to be filed by it under the Exchange Act or the Securities Act (including reports under Sections 13 and 15(d) of the Exchange Act referred to in subparagraph (c)(1) of Rule 144), and shall use reasonable efforts to take such further necessary action as Lilly may reasonably request in connection with the removal of any restrictive legend on the Shares being sold, all to the extent required from time to time to enable Lilly to sell the Shares without registration under the Securities Act within the limitations of the exemption provided by Rule 144.</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4.3        </w:t>
      </w:r>
      <w:r>
        <w:rPr>
          <w:rFonts w:ascii="Times New Roman" w:cs="Times New Roman" w:eastAsia="Times New Roman" w:hAnsi="Times New Roman"/>
          <w:sz w:val="18"/>
          <w:szCs w:val="18"/>
          <w:b w:val="1"/>
          <w:bCs w:val="1"/>
          <w:u w:val="single" w:color="auto"/>
          <w:color w:val="auto"/>
        </w:rPr>
        <w:t>  Legends</w:t>
      </w:r>
      <w:r>
        <w:rPr>
          <w:rFonts w:ascii="Times New Roman" w:cs="Times New Roman" w:eastAsia="Times New Roman" w:hAnsi="Times New Roman"/>
          <w:sz w:val="18"/>
          <w:szCs w:val="18"/>
          <w:color w:val="auto"/>
        </w:rPr>
        <w:t>. Lilly understands that the Shares will bear restrictive legends in substantially the following form (and a stop-transfer order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placed against transfer of the Shares):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SECURITIES HAVE NOT BEEN REGISTERED UNDER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MAY NOT BE SOLD, OFFERED FOR SALE, PLEDGED OR HYPOTHECATED IN THE ABSENCE OF A REGISTRATION STATEMENT IN EFFECT WITH RESPECT TO THE SECURITIES UNDER THE SECURITIES ACT OR AN OPINION OF COUNSEL (WHICH COUNSEL SHALL BE REASONABLY SATISFACTORY TO PROQR THERAPEUTICS N.V.) THAT SUCH REGISTRATION IS NOT REQUIRED OR UNLESS SOLD PURSUANT TO RULE 144 OF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If such Shares are transferred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this Agreement, Lilly may request that ProQR remove, and if so requested, ProQR shall agree to authorize and instruct (including by causing any required legal opinion to be provided) the removal of any legend from the Shares, if permitted by applicable securities law, within two (2) Business Days of any such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each Party will be responsible for any fees it incurs in connection with such request and removal.</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4.4        </w:t>
      </w:r>
      <w:r>
        <w:rPr>
          <w:rFonts w:ascii="Times New Roman" w:cs="Times New Roman" w:eastAsia="Times New Roman" w:hAnsi="Times New Roman"/>
          <w:sz w:val="18"/>
          <w:szCs w:val="18"/>
          <w:b w:val="1"/>
          <w:bCs w:val="1"/>
          <w:u w:val="single" w:color="auto"/>
          <w:color w:val="auto"/>
        </w:rPr>
        <w:t>  Registration Rights</w:t>
      </w:r>
      <w:r>
        <w:rPr>
          <w:rFonts w:ascii="Times New Roman" w:cs="Times New Roman" w:eastAsia="Times New Roman" w:hAnsi="Times New Roman"/>
          <w:sz w:val="18"/>
          <w:szCs w:val="18"/>
          <w:color w:val="auto"/>
        </w:rPr>
        <w:t>. ProQR hereby provides Lilly with the registration rights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Appendix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which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in and made a part of this Agreement as if set forth in full 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4.5        </w:t>
      </w:r>
      <w:r>
        <w:rPr>
          <w:rFonts w:ascii="Times New Roman" w:cs="Times New Roman" w:eastAsia="Times New Roman" w:hAnsi="Times New Roman"/>
          <w:sz w:val="18"/>
          <w:szCs w:val="18"/>
          <w:b w:val="1"/>
          <w:bCs w:val="1"/>
          <w:u w:val="single" w:color="auto"/>
          <w:color w:val="auto"/>
        </w:rPr>
        <w:t>  Information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rights and obligations set forth in Section 4.5 of the 2021 SPA shall continue in effect in accordance with the 2021 SPA, with the Shares to be purchased hereunder to be taken into consideration in determining whether Lilly meets the ownership threshold set forth in such Section 4.5.</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Until Lilly no longer holds Ordinary Shares representing beneficial ownership of at least five percent (5%) of the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ProQR shall provide to Lilly:</w:t>
      </w:r>
    </w:p>
    <w:p>
      <w:pPr>
        <w:spacing w:after="0" w:line="207"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            as soon as practicable, but in any event within 120 days after the end of each fiscal year of ProQR (A) a balance sheet as of the end of such year, (B) statements of income and of cash flows for such year, and (C) a statement of shareholders’ equity as of the end of such year, all such financial statements audited and certified by independent public accountants of internationally recognized standing selected by ProQR;</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           as soon as practicable, but in any event within 45 days after the end of each of the first three quarters of each fiscal year of ProQR, unaudited statements of income and cash flows for such fiscal quarter, and an unaudited balance sheet as of the end of such fiscal quarter, all prepared in accordance with GAAP or IFRS as applicable (except that such financial statements may (A) be subject to normal year-end audit adjustments; and (B) not contain all notes thereto that may be required in accordance with GAAP or IFRS); and</w:t>
      </w:r>
    </w:p>
    <w:p>
      <w:pPr>
        <w:spacing w:after="0" w:line="180" w:lineRule="exact"/>
        <w:rPr>
          <w:sz w:val="20"/>
          <w:szCs w:val="20"/>
          <w:color w:val="auto"/>
        </w:rPr>
      </w:pPr>
    </w:p>
    <w:p>
      <w:pPr>
        <w:jc w:val="both"/>
        <w:ind w:left="1300" w:firstLine="648"/>
        <w:spacing w:after="0" w:line="257" w:lineRule="auto"/>
        <w:rPr>
          <w:sz w:val="20"/>
          <w:szCs w:val="20"/>
          <w:color w:val="auto"/>
        </w:rPr>
      </w:pPr>
      <w:r>
        <w:rPr>
          <w:rFonts w:ascii="Times New Roman" w:cs="Times New Roman" w:eastAsia="Times New Roman" w:hAnsi="Times New Roman"/>
          <w:sz w:val="18"/>
          <w:szCs w:val="18"/>
          <w:color w:val="auto"/>
        </w:rPr>
        <w:t>(iii)          within sixty (60) days after the end of each fiscal year, (A) unaudited financial statements of ProQR that contain the financial information necessary in order for Lilly to prepare and file IRS Form 5471 with respect to ProQR, (B) a “PFIC Annual Information Statement” for the prior fiscal year containing the information required under Treasury Regulation 1.1295-1(g)(1), and</w:t>
      </w:r>
    </w:p>
    <w:p>
      <w:pPr>
        <w:spacing w:after="0" w:line="1" w:lineRule="exact"/>
        <w:rPr>
          <w:sz w:val="20"/>
          <w:szCs w:val="20"/>
          <w:color w:val="auto"/>
        </w:rPr>
      </w:pPr>
    </w:p>
    <w:p>
      <w:pPr>
        <w:ind w:left="1300" w:firstLine="4"/>
        <w:spacing w:after="0" w:line="260" w:lineRule="auto"/>
        <w:tabs>
          <w:tab w:leader="none" w:pos="159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reasonably requested in writing as is reasonably necessary to allow Lilly to complete its respective tax filings in the United States.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4.6        </w:t>
      </w:r>
      <w:r>
        <w:rPr>
          <w:rFonts w:ascii="Times New Roman" w:cs="Times New Roman" w:eastAsia="Times New Roman" w:hAnsi="Times New Roman"/>
          <w:sz w:val="18"/>
          <w:szCs w:val="18"/>
          <w:b w:val="1"/>
          <w:bCs w:val="1"/>
          <w:u w:val="single" w:color="auto"/>
          <w:color w:val="auto"/>
        </w:rPr>
        <w:t>  Right to Conduct Activities</w:t>
      </w:r>
      <w:r>
        <w:rPr>
          <w:rFonts w:ascii="Times New Roman" w:cs="Times New Roman" w:eastAsia="Times New Roman" w:hAnsi="Times New Roman"/>
          <w:sz w:val="18"/>
          <w:szCs w:val="18"/>
          <w:color w:val="auto"/>
        </w:rPr>
        <w:t>. ProQR hereby agrees and acknowledges that Lilly is a public company with numerous business lines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Lilly Business</w:t>
      </w:r>
      <w:r>
        <w:rPr>
          <w:rFonts w:ascii="Times New Roman" w:cs="Times New Roman" w:eastAsia="Times New Roman" w:hAnsi="Times New Roman"/>
          <w:sz w:val="18"/>
          <w:szCs w:val="18"/>
          <w:color w:val="auto"/>
        </w:rPr>
        <w:t>”) and an active investment and acquisition program. ProQR hereby agrees that none of Lilly or any of its Affiliates (together, the “</w:t>
      </w:r>
      <w:r>
        <w:rPr>
          <w:rFonts w:ascii="Times New Roman" w:cs="Times New Roman" w:eastAsia="Times New Roman" w:hAnsi="Times New Roman"/>
          <w:sz w:val="18"/>
          <w:szCs w:val="18"/>
          <w:u w:val="single" w:color="auto"/>
          <w:color w:val="auto"/>
        </w:rPr>
        <w:t>Lilly Group</w:t>
      </w:r>
      <w:r>
        <w:rPr>
          <w:rFonts w:ascii="Times New Roman" w:cs="Times New Roman" w:eastAsia="Times New Roman" w:hAnsi="Times New Roman"/>
          <w:sz w:val="18"/>
          <w:szCs w:val="18"/>
          <w:color w:val="auto"/>
        </w:rPr>
        <w:t xml:space="preserve">”) shall be liable to ProQR or any of its Affiliates for any claim arising out of, or based upon, (a) the investment by the Lilly Group in any entity competitive with ProQR, (b) actions taken by any partner, officer or other representative of the Lilly Group to assist any such competitive company, whether or not such action was taken as a member of the board of directors of such competitive company or otherwise, and whether or not such action has a detrimental effect on ProQR, or (c) with respect to the Lilly Group, the Lilly Group engaging in Existing Lilly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limit any of Lilly’s or any of its Affiliates’ obligations under this Agreement or the Amended and Restated Collaboration Agreement or otherwise relieve Lilly or any Affiliate of Lilly from liability associated with the breach by Lilly of any representation, warranty, covenant, agreement or obligation set forth in this Agreement or the Amended and Restated Collaboration Agreement, including (for the avoidance of doubt) Lilly’s obligations of confidentiality and non-use under this Agreement and the Amended and Restated Collaboration Agreement.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4.7        </w:t>
      </w:r>
      <w:r>
        <w:rPr>
          <w:rFonts w:ascii="Times New Roman" w:cs="Times New Roman" w:eastAsia="Times New Roman" w:hAnsi="Times New Roman"/>
          <w:sz w:val="18"/>
          <w:szCs w:val="18"/>
          <w:b w:val="1"/>
          <w:bCs w:val="1"/>
          <w:u w:val="single" w:color="auto"/>
          <w:color w:val="auto"/>
        </w:rPr>
        <w:t>  Securities Law Disclosure; Publicity</w:t>
      </w:r>
      <w:r>
        <w:rPr>
          <w:rFonts w:ascii="Times New Roman" w:cs="Times New Roman" w:eastAsia="Times New Roman" w:hAnsi="Times New Roman"/>
          <w:sz w:val="18"/>
          <w:szCs w:val="18"/>
          <w:color w:val="auto"/>
        </w:rPr>
        <w:t>. No public release, public disclosure or announcement concerning the transactions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shall be made by either Party without the consent of the other Party (which consent shall not be unreasonably withheld, conditioned or delayed).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4.8        </w:t>
      </w:r>
      <w:r>
        <w:rPr>
          <w:rFonts w:ascii="Times New Roman" w:cs="Times New Roman" w:eastAsia="Times New Roman" w:hAnsi="Times New Roman"/>
          <w:sz w:val="18"/>
          <w:szCs w:val="18"/>
          <w:b w:val="1"/>
          <w:bCs w:val="1"/>
          <w:u w:val="single" w:color="auto"/>
          <w:color w:val="auto"/>
        </w:rPr>
        <w:t>  Use of Proceeds</w:t>
      </w:r>
      <w:r>
        <w:rPr>
          <w:rFonts w:ascii="Times New Roman" w:cs="Times New Roman" w:eastAsia="Times New Roman" w:hAnsi="Times New Roman"/>
          <w:sz w:val="18"/>
          <w:szCs w:val="18"/>
          <w:color w:val="auto"/>
        </w:rPr>
        <w:t>. The proceeds to be received by ProQR at the Closing shall be used for general corporate purposes at the direction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4.9        </w:t>
      </w:r>
      <w:r>
        <w:rPr>
          <w:rFonts w:ascii="Times New Roman" w:cs="Times New Roman" w:eastAsia="Times New Roman" w:hAnsi="Times New Roman"/>
          <w:sz w:val="18"/>
          <w:szCs w:val="18"/>
          <w:b w:val="1"/>
          <w:bCs w:val="1"/>
          <w:u w:val="single" w:color="auto"/>
          <w:color w:val="auto"/>
        </w:rPr>
        <w:t>  Participation in Future Financings</w:t>
      </w:r>
      <w:r>
        <w:rPr>
          <w:rFonts w:ascii="Times New Roman" w:cs="Times New Roman" w:eastAsia="Times New Roman" w:hAnsi="Times New Roman"/>
          <w:sz w:val="18"/>
          <w:szCs w:val="18"/>
          <w:color w:val="auto"/>
        </w:rPr>
        <w:t>. For so long as Lilly holds at least ten percent (10%) of ProQR’s outstanding Ordinary Shares, ProQR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will use its commercially reasonable efforts to allow Lilly to participate (pro rata with its percentage ownership of the outstanding Ordinary Shares) in public offerings or private placements of its Ordinary Shares to financial, non-strategic institutional investors primarily for capital raising purposes, subject to any limitations (a) imposed by ProQR’s underwriters or investment bankers or (b) arising under securities or other applicable laws, including, for the avoidance of doubt, the laws of the Netherlands. ProQR may undertake such commercially reasonable efforts by notifying Lilly of the proposed financing transaction or instructing its underwriters, investment bankers or other financial advisors (as applicable) to do so. If such participation is in the form of a public offering, Lilly understands and acknowledges that ProQR and/or its underwriters or investment bankers may utilize customary “wall-cross” procedures to notify Lilly of such opportunity to participate in such offering, or alternatively notify Lilly after initiation of such offering has been publicly disclosed. If such offering is in the form of a private placement, ProQR may notify Lilly prior to the public disclosure of such private placement utilizing customary “wall-cross” procedures of such opportunity to participate in such private placement. Notwithstanding the foregoing, in the event, despite ProQR’s commercially reasonable efforts, such as in the event Lilly declines to receive such information on a “wall-cross” basis, and Lilly is not provided the opportunity to participate in private placements referenced in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ProQR will arrange, as promptly as possible thereafter, to permit Lilly to participate in a separate and subsequent private placement on substantially the same terms. Notwithstanding the foregoing, the opportunity for Lilly to participate in the financings described in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shall not apply to (i) “at-the-market” offerings as defined in Rule 415(a)(4) promulgated under the Securities Act; (ii) commercial debt in the form of customary credit facilities, convertible debt, venture debt or similar transactions, provided that such transactions are primarily structured and issued as debt instruments (regardless of whether such transactions include equity or equity-linked features such as warrants or units to purchase Ordinary Shares or other instruments exercisable for or convertible into Ordinary Shares); and provided, further, the exception in this clause (ii) shall not apply to public offerings of debt conducted by ProQR, for which offerings ProQR may utilize the procedures described in the second and third sentences of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above to invite Lilly’s participation on the same terms and conditions as the other purchasers in such public debt offerings; or (iii) strategic partnerships, joint ventures, licenses, collaborations or similar transactions.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4.10      </w:t>
      </w:r>
      <w:r>
        <w:rPr>
          <w:rFonts w:ascii="Times New Roman" w:cs="Times New Roman" w:eastAsia="Times New Roman" w:hAnsi="Times New Roman"/>
          <w:sz w:val="18"/>
          <w:szCs w:val="18"/>
          <w:b w:val="1"/>
          <w:bCs w:val="1"/>
          <w:u w:val="single" w:color="auto"/>
          <w:color w:val="auto"/>
        </w:rPr>
        <w:t>  Lockup</w:t>
      </w:r>
      <w:r>
        <w:rPr>
          <w:rFonts w:ascii="Times New Roman" w:cs="Times New Roman" w:eastAsia="Times New Roman" w:hAnsi="Times New Roman"/>
          <w:sz w:val="18"/>
          <w:szCs w:val="18"/>
          <w:color w:val="auto"/>
        </w:rPr>
        <w:t>. During the period commencing on the Closing Date and until the earlier of (a) the date that is six (6) months after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and (b) the date that the Amended and Restated Collaboration Agreement is terminated as provided in Article 13 thereof (collectively, the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without the prior approval of ProQR, Lilly shall not Dispose of (i) any of the Shares, together with any Ordinary Shares issued in respect thereof as a result of any stock split, stock dividend, share exchange, merger, consolidation or similar recapitalization, and (ii) any Ordinary Shares issued as (or issuable upon the exercise of any warrant, right or other security that is issued as) a dividend or other distribution with respect to, or in exchange or in replacement of, the Ordinary Shares described in clause (i) of this sentence (collectively, “</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prohibit (A) Lilly from transferring any Lockup Shares to (I) a Permitted Transferee (provided, that the Permitted Transferee agrees to be bound in writing by the restrictions set forth herein), or (II) to ProQR; (B) the Disposition of Lockup Shares with the prior written consent of ProQR; and (C) the Disposition of Lockup Shares pursuant to a Third Party Tender/Exchange Offer, and any Disposition effected pursuant to any business combination, merger, consolidation or similar transaction consummated by ProQR;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ProQR enters into any definitive agreement with a Third Party during the Lock-Up Period contemplating (x) a Third Party Tender/Exchange Offer or (y) a business combination, merger, consolidation or similar transaction to which ProQR is a constituent corporation, then the restrictions on the Lock-Up Shares automatically shall be terminated and of no further force or effect.</w:t>
      </w:r>
    </w:p>
    <w:p>
      <w:pPr>
        <w:spacing w:after="0" w:line="1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4.11      </w:t>
      </w:r>
      <w:r>
        <w:rPr>
          <w:rFonts w:ascii="Times New Roman" w:cs="Times New Roman" w:eastAsia="Times New Roman" w:hAnsi="Times New Roman"/>
          <w:sz w:val="18"/>
          <w:szCs w:val="18"/>
          <w:b w:val="1"/>
          <w:bCs w:val="1"/>
          <w:u w:val="single" w:color="auto"/>
          <w:color w:val="auto"/>
        </w:rPr>
        <w:t>  Notice on Sale</w:t>
      </w:r>
      <w:r>
        <w:rPr>
          <w:rFonts w:ascii="Times New Roman" w:cs="Times New Roman" w:eastAsia="Times New Roman" w:hAnsi="Times New Roman"/>
          <w:sz w:val="18"/>
          <w:szCs w:val="18"/>
          <w:color w:val="auto"/>
        </w:rPr>
        <w:t>. Prior to the proposed sale of any Shares by Lilly in open market transactions that exceed twenty percent (20%) of the daily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average trading volume of the Ordinary Shares over the thirty (30) trading days immediately preceding such sale, Lilly agrees to use commercially reasonable efforts to notify ProQR of such proposed sale.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4.12      </w:t>
      </w:r>
      <w:r>
        <w:rPr>
          <w:rFonts w:ascii="Times New Roman" w:cs="Times New Roman" w:eastAsia="Times New Roman" w:hAnsi="Times New Roman"/>
          <w:sz w:val="18"/>
          <w:szCs w:val="18"/>
          <w:b w:val="1"/>
          <w:bCs w:val="1"/>
          <w:u w:val="single" w:color="auto"/>
          <w:color w:val="auto"/>
        </w:rPr>
        <w:t>  Standstill Provisions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For the period of time commencing on the date hereof and ending on the six (6) month anniversary of the Closing Date, Lilly will not, directly or indirectly, except as expressly approved or invited by ProQR in writing:</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            acquire any securities of ProQR such that, following any such acquisition, Lilly would be the beneficial owner (as determined pursuant to Rule 13d-3 of the Exchange Act) of more than twenty percent (20%) of the voting power of the capital stock of ProQR then outstanding;</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propose to ProQR or to the ProQR securityholders any merger or other transaction that would constitute a Change of</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Control;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left="180" w:right="20" w:firstLine="648"/>
        <w:spacing w:after="0" w:line="282" w:lineRule="auto"/>
        <w:rPr>
          <w:sz w:val="20"/>
          <w:szCs w:val="20"/>
          <w:color w:val="auto"/>
        </w:rPr>
      </w:pPr>
      <w:r>
        <w:rPr>
          <w:rFonts w:ascii="Times New Roman" w:cs="Times New Roman" w:eastAsia="Times New Roman" w:hAnsi="Times New Roman"/>
          <w:sz w:val="18"/>
          <w:szCs w:val="18"/>
          <w:color w:val="auto"/>
        </w:rPr>
        <w:t>(iii)          publicly support or endorse a Third Party Tender / Exchange Offer to purchase securities of ProQR that represent a majority of the voting power of the capital stock of ProQR then outstanding; or</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(iv)          submit matters to, or request the convening of, a general meeting of shareholders of ProQR.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(b)           Notwithstanding the provisions set forth in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Standstill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(i)            If at any time (A) a Third Party enters into a definitive agreement with ProQR providing for a Change of Control, (B) a Third Party commences a Third Party Tender / Exchange Offer that, if consummated, would result in a Change of Control, (C) ProQR publicly announces its support of, or intention to enter into, a Change of Control transaction with a Third Party, or (D) ProQR engages a financial advisor for the purpose of soliciting indications of interest or proposals regarding a Change of Control transaction and Lilly is not requested to participate in such process, then, in each case, the Standstill Provisions shall automatically be terminated and of no force or effect.</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(ii)           The Standstill Provisions do not preclude Lilly from:</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          making confidential offers or proposals to ProQR’s Chief Executive Officer or Board; or</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(B)           (I) entering into a negotiated business arrangement with ProQR as contemplated by this Agreement; or</w:t>
      </w:r>
    </w:p>
    <w:p>
      <w:pPr>
        <w:spacing w:after="0" w:line="27" w:lineRule="exact"/>
        <w:rPr>
          <w:sz w:val="20"/>
          <w:szCs w:val="20"/>
          <w:color w:val="auto"/>
        </w:rPr>
      </w:pPr>
    </w:p>
    <w:p>
      <w:pPr>
        <w:jc w:val="both"/>
        <w:ind w:left="840" w:hanging="8"/>
        <w:spacing w:after="0" w:line="252" w:lineRule="auto"/>
        <w:tabs>
          <w:tab w:leader="none" w:pos="113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acquiring (or privately proposing the acquisition thereof via a Lilly business development professional employee or other employees related thereto) assets of ProQR in the ordinary course of business via license, collaborative arrangement or otherwise (an “</w:t>
      </w:r>
      <w:r>
        <w:rPr>
          <w:rFonts w:ascii="Times New Roman" w:cs="Times New Roman" w:eastAsia="Times New Roman" w:hAnsi="Times New Roman"/>
          <w:sz w:val="18"/>
          <w:szCs w:val="18"/>
          <w:u w:val="single" w:color="auto"/>
          <w:color w:val="auto"/>
        </w:rPr>
        <w:t>Ordinary Course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assets involved in such Ordinary Course Transaction represent a material portion of the assets of ProQR or any of its Affiliates or require public disclosure thereof (other than if a definitive agreement for such transaction is entered into between Lilly and ProQR and disclosure thereof is required by law).</w:t>
      </w:r>
    </w:p>
    <w:p>
      <w:pPr>
        <w:spacing w:after="0" w:line="190"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(iii)          For the avoidance of doubt, nothing contained in the Standstill Provisions shall be deemed to prevent any (A) investment funds from acquiring Ordinary Shares or (B) pension or other employee benefit plan administrator for any pension or other employee benefit plan for Lilly’s or its Affiliates’ employees from engaging in investment operations (including trading and owning Ordinary Shares) that, in the case of (A) and (B) are not directed by Lilly, and are conducted without the intent or objective of effecting a Change of Control.</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5.1        </w:t>
      </w:r>
      <w:r>
        <w:rPr>
          <w:rFonts w:ascii="Times New Roman" w:cs="Times New Roman" w:eastAsia="Times New Roman" w:hAnsi="Times New Roman"/>
          <w:sz w:val="18"/>
          <w:szCs w:val="18"/>
          <w:b w:val="1"/>
          <w:bCs w:val="1"/>
          <w:u w:val="single" w:color="auto"/>
          <w:color w:val="auto"/>
        </w:rPr>
        <w:t>  Mutual Conditions to Closing</w:t>
      </w:r>
      <w:r>
        <w:rPr>
          <w:rFonts w:ascii="Times New Roman" w:cs="Times New Roman" w:eastAsia="Times New Roman" w:hAnsi="Times New Roman"/>
          <w:sz w:val="18"/>
          <w:szCs w:val="18"/>
          <w:color w:val="auto"/>
        </w:rPr>
        <w:t>. The obligations of ProQR and Lilly to consummate the Closing are subject to the satisfaction or waiver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conditions at or prior to the Closing:</w:t>
      </w:r>
    </w:p>
    <w:p>
      <w:pPr>
        <w:spacing w:after="0" w:line="15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Absence of Litigation</w:t>
      </w:r>
      <w:r>
        <w:rPr>
          <w:rFonts w:ascii="Times New Roman" w:cs="Times New Roman" w:eastAsia="Times New Roman" w:hAnsi="Times New Roman"/>
          <w:sz w:val="18"/>
          <w:szCs w:val="18"/>
          <w:color w:val="auto"/>
        </w:rPr>
        <w:t>. No proceeding challenging this Agreement or the transactions contemplated hereby, or seeking to prohibit, alter, prevent or materially delay the Closing, will have been instituted or be pending before any Governmental Authority.</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 Governmental Prohibition</w:t>
      </w:r>
      <w:r>
        <w:rPr>
          <w:rFonts w:ascii="Times New Roman" w:cs="Times New Roman" w:eastAsia="Times New Roman" w:hAnsi="Times New Roman"/>
          <w:sz w:val="18"/>
          <w:szCs w:val="18"/>
          <w:color w:val="auto"/>
        </w:rPr>
        <w:t>. The sale of the Shares by ProQR and the purchase of the Shares by Lilly will not be prohibited by any law or Governmental Authority.</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5.2        </w:t>
      </w:r>
      <w:r>
        <w:rPr>
          <w:rFonts w:ascii="Times New Roman" w:cs="Times New Roman" w:eastAsia="Times New Roman" w:hAnsi="Times New Roman"/>
          <w:sz w:val="18"/>
          <w:szCs w:val="18"/>
          <w:b w:val="1"/>
          <w:bCs w:val="1"/>
          <w:u w:val="single" w:color="auto"/>
          <w:color w:val="auto"/>
        </w:rPr>
        <w:t>  Conditions to Obligations of ProQR to Close</w:t>
      </w:r>
      <w:r>
        <w:rPr>
          <w:rFonts w:ascii="Times New Roman" w:cs="Times New Roman" w:eastAsia="Times New Roman" w:hAnsi="Times New Roman"/>
          <w:sz w:val="18"/>
          <w:szCs w:val="18"/>
          <w:color w:val="auto"/>
        </w:rPr>
        <w:t>. ProQR’s obligation to complete the purchase and sale of the Shares and deliver the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Lilly is subject to the satisfaction or waiver of the following conditions at or prior to the Closing:</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Receipt of Funds</w:t>
      </w:r>
      <w:r>
        <w:rPr>
          <w:rFonts w:ascii="Times New Roman" w:cs="Times New Roman" w:eastAsia="Times New Roman" w:hAnsi="Times New Roman"/>
          <w:sz w:val="18"/>
          <w:szCs w:val="18"/>
          <w:color w:val="auto"/>
        </w:rPr>
        <w:t>. ProQR will have received immediately available funds in the full amount of the Purchase Price for the Shares.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xml:space="preserve">. The representations and warranties made by Lilly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will be true and correct as of the Closing Date, except to the extent such representations and warranties are specifically made as of a particular date, in which case such representations and warranties will be true and correct as of such other date, except in each case where the failure of such representations and warranties to be so true and correct (without giving effect to any limitation as to “materiality” set forth therein) would not reasonably be expected to have a material adverse effect on Lilly’s ability to perform its obligations hereunder or consummate the transactions contemplated hereby.</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Covenants</w:t>
      </w:r>
      <w:r>
        <w:rPr>
          <w:rFonts w:ascii="Times New Roman" w:cs="Times New Roman" w:eastAsia="Times New Roman" w:hAnsi="Times New Roman"/>
          <w:sz w:val="18"/>
          <w:szCs w:val="18"/>
          <w:color w:val="auto"/>
        </w:rPr>
        <w:t>. All covenants and agreements contained in this Agreement to be performed or complied with by Lilly on or prior to the Closing Date shall have been performed or complied with in all material respects.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Closing Deliverables</w:t>
      </w:r>
      <w:r>
        <w:rPr>
          <w:rFonts w:ascii="Times New Roman" w:cs="Times New Roman" w:eastAsia="Times New Roman" w:hAnsi="Times New Roman"/>
          <w:sz w:val="18"/>
          <w:szCs w:val="18"/>
          <w:color w:val="auto"/>
        </w:rPr>
        <w:t xml:space="preserve">. All Closing deliverables required to be delivered by Lilly to ProQR under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of this Agreement shall have been so delivered.</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5.3        </w:t>
      </w:r>
      <w:r>
        <w:rPr>
          <w:rFonts w:ascii="Times New Roman" w:cs="Times New Roman" w:eastAsia="Times New Roman" w:hAnsi="Times New Roman"/>
          <w:sz w:val="18"/>
          <w:szCs w:val="18"/>
          <w:b w:val="1"/>
          <w:bCs w:val="1"/>
          <w:u w:val="single" w:color="auto"/>
          <w:color w:val="auto"/>
        </w:rPr>
        <w:t>  Conditions to Lilly’s Obligations to Close</w:t>
      </w:r>
      <w:r>
        <w:rPr>
          <w:rFonts w:ascii="Times New Roman" w:cs="Times New Roman" w:eastAsia="Times New Roman" w:hAnsi="Times New Roman"/>
          <w:sz w:val="18"/>
          <w:szCs w:val="18"/>
          <w:color w:val="auto"/>
        </w:rPr>
        <w:t>. Lilly’s obligation to complete the purchase and sale of the Shares is subject to the satisfaction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waiver of the following conditions at or prior to the Closing:</w:t>
      </w:r>
    </w:p>
    <w:p>
      <w:pPr>
        <w:spacing w:after="0" w:line="15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xml:space="preserve">. The representations and warranties made by ProQR in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of this Agreement will be true and correct as of the Closing Date, except to the extent such representations and warranties are specifically made as of a particular date, in which case such representations and warranties will be true and correct as of such other date, except in each case where the failure of such representations and warranties to be so true and correct (without giving effect to any limitation as to “materiality” set forth therein) would not reasonably be expected to have a material adverse effect on ProQR’s ability to perform its obligations hereunder or consummate the transactions contemplated hereby.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Covenants</w:t>
      </w:r>
      <w:r>
        <w:rPr>
          <w:rFonts w:ascii="Times New Roman" w:cs="Times New Roman" w:eastAsia="Times New Roman" w:hAnsi="Times New Roman"/>
          <w:sz w:val="18"/>
          <w:szCs w:val="18"/>
          <w:color w:val="auto"/>
        </w:rPr>
        <w:t>. All covenants and agreements contained in this Agreement to be performed or complied with by ProQR on or prior to the Closing Date shall have been performed or complied with in all material respects.</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Closing Deliverables</w:t>
      </w:r>
      <w:r>
        <w:rPr>
          <w:rFonts w:ascii="Times New Roman" w:cs="Times New Roman" w:eastAsia="Times New Roman" w:hAnsi="Times New Roman"/>
          <w:sz w:val="18"/>
          <w:szCs w:val="18"/>
          <w:color w:val="auto"/>
        </w:rPr>
        <w:t xml:space="preserve">. All Closing deliverables as required to be delivered by ProQR to Lilly under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xml:space="preserve"> of this Agreement shall have been so delivered.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Nasdaq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            Prior to the Closing, ProQR shall have taken all actions that are reasonably necessary, including providing appropriate notice to Nasdaq of the transactions contemplated by this Agreement, for the Shares to be listed on Nasdaq and shall have complied with all listing, reporting, filing and other obligations under the rules of Nasdaq and of the SEC with respect to the matters contemplated by this Agreement.</w:t>
      </w:r>
    </w:p>
    <w:p>
      <w:pPr>
        <w:spacing w:after="0" w:line="180"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           The Ordinary Shares shall not have been suspended, as of the Closing Date, by the SEC or Nasdaq from trading on Nasdaq nor shall any such suspension by the SEC or Nasdaq have been threatened, as of the Closing Date, in writing by the SEC or Nasdaq.</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 Material Adverse Effect</w:t>
      </w:r>
      <w:r>
        <w:rPr>
          <w:rFonts w:ascii="Times New Roman" w:cs="Times New Roman" w:eastAsia="Times New Roman" w:hAnsi="Times New Roman"/>
          <w:sz w:val="18"/>
          <w:szCs w:val="18"/>
          <w:color w:val="auto"/>
        </w:rPr>
        <w:t>. Since the Execution Date, there shall not have been any change, development, occurrence or event that has had or would reasonably be expected to have a Material Adverse Effect on ProQR.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Offering</w:t>
      </w:r>
      <w:r>
        <w:rPr>
          <w:rFonts w:ascii="Times New Roman" w:cs="Times New Roman" w:eastAsia="Times New Roman" w:hAnsi="Times New Roman"/>
          <w:sz w:val="18"/>
          <w:szCs w:val="18"/>
          <w:color w:val="auto"/>
        </w:rPr>
        <w:t>. ProQR shall have entered into definitive agreements for the purchase and sale of Ordinary Shares in the Offering.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        </w:t>
      </w:r>
      <w:r>
        <w:rPr>
          <w:rFonts w:ascii="Times New Roman" w:cs="Times New Roman" w:eastAsia="Times New Roman" w:hAnsi="Times New Roman"/>
          <w:sz w:val="18"/>
          <w:szCs w:val="18"/>
          <w:b w:val="1"/>
          <w:bCs w:val="1"/>
          <w:u w:val="single" w:color="auto"/>
          <w:color w:val="auto"/>
        </w:rPr>
        <w:t>  Ability to Terminate</w:t>
      </w:r>
      <w:r>
        <w:rPr>
          <w:rFonts w:ascii="Times New Roman" w:cs="Times New Roman" w:eastAsia="Times New Roman" w:hAnsi="Times New Roman"/>
          <w:sz w:val="18"/>
          <w:szCs w:val="18"/>
          <w:color w:val="auto"/>
        </w:rPr>
        <w:t>. This Agreement may be terminated prior to the Closing by: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mutual written consent of ProQR and Lilly;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either ProQR or Lilly, upon written notice to the other, if the Closing does not occur by June 30, 2026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shall not be available to any Party whose failure to fulfill any obligation under this Agreement has been the cause of, or resulted in, the failure to consummate the transactions contemplated hereby prior to the Termination Date;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ProQR, upon written notice to Lilly, so long as ProQR is not then in breach of its representations, warranties, covenants or agreements under this Agreement such that any of the conditions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could not be satisfied by the Termination Date, (i) upon a breach of any covenant or agreement on the part of Lilly set forth in this Agreement or (ii) if any representation or warranty of Lilly shall have been or become untrue, in each case such that any of the conditions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as applicable, could not be satisfied by the Termination Date; 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(d)           Lilly, upon written notice to ProQR, so long as Lilly is not then in breach of its representations, warranties, covenants or agreements under this Agreement such that any of the conditions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as applicable, could not be satisfied by the Termination Date, (i) upon a breach of any covenant or agreement on the part of ProQR set forth in this Agreement or (ii) if any representation or warranty of ProQR shall have been or become untrue, in each case such that any of the conditions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as applicable, could not be satisfied by the Termination Date.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6.2        </w:t>
      </w:r>
      <w:r>
        <w:rPr>
          <w:rFonts w:ascii="Times New Roman" w:cs="Times New Roman" w:eastAsia="Times New Roman" w:hAnsi="Times New Roman"/>
          <w:sz w:val="18"/>
          <w:szCs w:val="18"/>
          <w:b w:val="1"/>
          <w:bCs w:val="1"/>
          <w:u w:val="single" w:color="auto"/>
          <w:color w:val="auto"/>
        </w:rPr>
        <w:t>  Effect of Termination</w:t>
      </w:r>
      <w:r>
        <w:rPr>
          <w:rFonts w:ascii="Times New Roman" w:cs="Times New Roman" w:eastAsia="Times New Roman" w:hAnsi="Times New Roman"/>
          <w:sz w:val="18"/>
          <w:szCs w:val="18"/>
          <w:color w:val="auto"/>
        </w:rPr>
        <w:t>. In the event of the termination of this Agreement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(a) this Agreement (except for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any definitions set forth in this Agreement and used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shall forthwith become void and have no effect, without any liability on the part of either Party, and (b) all filings, applications and other submissions made pursuant to this Agreement, to the extent practicable, shall be withdrawn from the agency or other Person to which they were made or appropriately amended to reflect the termination of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relieve either Party from liability for fraud or any intentional or willful breach of this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7.1        </w:t>
      </w:r>
      <w:r>
        <w:rPr>
          <w:rFonts w:ascii="Times New Roman" w:cs="Times New Roman" w:eastAsia="Times New Roman" w:hAnsi="Times New Roman"/>
          <w:sz w:val="18"/>
          <w:szCs w:val="18"/>
          <w:b w:val="1"/>
          <w:bCs w:val="1"/>
          <w:u w:val="single" w:color="auto"/>
          <w:color w:val="auto"/>
        </w:rPr>
        <w:t>  Entire Agreement; Amendment</w:t>
      </w:r>
      <w:r>
        <w:rPr>
          <w:rFonts w:ascii="Times New Roman" w:cs="Times New Roman" w:eastAsia="Times New Roman" w:hAnsi="Times New Roman"/>
          <w:sz w:val="18"/>
          <w:szCs w:val="18"/>
          <w:color w:val="auto"/>
        </w:rPr>
        <w:t>. This Agreement, together with the Amended and Restated Collaboration Agreement and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sets forth the complete, final and exclusive agreement and all the covenants, promises, agreements, warranties, representations, conditions and understandings between the Parties with respect to the subject matter hereof and supersedes, as of the Execution Date, all prior and contemporaneous agreements and understandings between the Parties with respect to the subject matter hereof. No subsequent alteration, amendment, change or addition to this Agreement shall be binding upon the Parties unless reduced to writing and signed by an authorized officer of each Party.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7.2        </w:t>
      </w:r>
      <w:r>
        <w:rPr>
          <w:rFonts w:ascii="Times New Roman" w:cs="Times New Roman" w:eastAsia="Times New Roman" w:hAnsi="Times New Roman"/>
          <w:sz w:val="18"/>
          <w:szCs w:val="18"/>
          <w:b w:val="1"/>
          <w:bCs w:val="1"/>
          <w:u w:val="single" w:color="auto"/>
          <w:color w:val="auto"/>
        </w:rPr>
        <w:t>  Survival</w:t>
      </w:r>
      <w:r>
        <w:rPr>
          <w:rFonts w:ascii="Times New Roman" w:cs="Times New Roman" w:eastAsia="Times New Roman" w:hAnsi="Times New Roman"/>
          <w:sz w:val="18"/>
          <w:szCs w:val="18"/>
          <w:color w:val="auto"/>
        </w:rPr>
        <w:t>. The representations, warranties, covenants and agreements contained in this Agreement shall survive the Closing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this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7.3        </w:t>
      </w:r>
      <w:r>
        <w:rPr>
          <w:rFonts w:ascii="Times New Roman" w:cs="Times New Roman" w:eastAsia="Times New Roman" w:hAnsi="Times New Roman"/>
          <w:sz w:val="18"/>
          <w:szCs w:val="18"/>
          <w:b w:val="1"/>
          <w:bCs w:val="1"/>
          <w:u w:val="single" w:color="auto"/>
          <w:color w:val="auto"/>
        </w:rPr>
        <w:t>  Notice</w:t>
      </w:r>
      <w:r>
        <w:rPr>
          <w:rFonts w:ascii="Times New Roman" w:cs="Times New Roman" w:eastAsia="Times New Roman" w:hAnsi="Times New Roman"/>
          <w:sz w:val="18"/>
          <w:szCs w:val="18"/>
          <w:color w:val="auto"/>
        </w:rPr>
        <w:t>. Any notice required or permitted to be given by this Agreement must be in writing, in English. Any and all notices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or deliveries required or permitted to be provided hereunder must be in writing and will be deemed given and effective if (a) delivered by hand or by overnight courier with tracking capabilities; (b) mailed postage prepaid by first class, registered or certified mail; or (c) delivered by electronic mail, in each case, addressed as set forth below unless changed by notice so given: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ProQR: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ProQR Therapeutics N.V.</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Zernikedreef 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2333 CK Leiden, The Netherlands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DHom@proqr.com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ProQR Therapeutics N.V.</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Zernikedreef 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2333 CK Leiden, the Netherlands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legal@proqr.com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Lilly: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Eli Lilly and Company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Lilly Corporate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Indianapolis, Indiana 46285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Senior Vice President and Deputy General Counsel – Transactions and Contracting</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Eli Lilly and Company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Lilly Corporate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Indianapolis, IN 46285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Vice President, Corporate Business Development</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7.4        </w:t>
      </w:r>
      <w:r>
        <w:rPr>
          <w:rFonts w:ascii="Times New Roman" w:cs="Times New Roman" w:eastAsia="Times New Roman" w:hAnsi="Times New Roman"/>
          <w:sz w:val="18"/>
          <w:szCs w:val="18"/>
          <w:b w:val="1"/>
          <w:bCs w:val="1"/>
          <w:u w:val="single" w:color="auto"/>
          <w:color w:val="auto"/>
        </w:rPr>
        <w:t>  Severability</w:t>
      </w:r>
      <w:r>
        <w:rPr>
          <w:rFonts w:ascii="Times New Roman" w:cs="Times New Roman" w:eastAsia="Times New Roman" w:hAnsi="Times New Roman"/>
          <w:sz w:val="18"/>
          <w:szCs w:val="18"/>
          <w:color w:val="auto"/>
        </w:rPr>
        <w:t>. If, for any reason, any part of this Agreement is adjudicated invalid, unenforceable or illegal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(a) such adjudication shall not, to the extent feasible, affect or impair, in whole or in part, the validity, enforceability or legality of any remaining portions of this Agreement, (b) this Agreement shall be construed and enforced as if such invalid, unenforceable or illegal provision had never comprised a part hereof, (c) all remaining portions will remain in full force and effect and shall not be affected by the invalid, unenforceable or illegal provision or by its severance herefrom, and (d) in lieu of such invalid, unenforceable or illegal provision, the Parties shall use reasonable efforts to seek and agree on an alternative valid and enforceable provision that preserves the original purpose and intent of this Agreement.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7.5        </w:t>
      </w:r>
      <w:r>
        <w:rPr>
          <w:rFonts w:ascii="Times New Roman" w:cs="Times New Roman" w:eastAsia="Times New Roman" w:hAnsi="Times New Roman"/>
          <w:sz w:val="18"/>
          <w:szCs w:val="18"/>
          <w:b w:val="1"/>
          <w:bCs w:val="1"/>
          <w:u w:val="single" w:color="auto"/>
          <w:color w:val="auto"/>
        </w:rPr>
        <w:t>  Successors and Assigns</w:t>
      </w:r>
      <w:r>
        <w:rPr>
          <w:rFonts w:ascii="Times New Roman" w:cs="Times New Roman" w:eastAsia="Times New Roman" w:hAnsi="Times New Roman"/>
          <w:sz w:val="18"/>
          <w:szCs w:val="18"/>
          <w:color w:val="auto"/>
        </w:rPr>
        <w:t>. This Agreement is binding upon and inures to the benefit of the Parties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assigns. Except for an assignment by Lilly of this Agreement or any rights hereunder to a Permitted Transferee (which assignment will not relieve Lilly of any obligation hereunder), neither Party may assign this Agreement or any rights or obligations hereunder without the prior written consent of the other Party.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7.6        </w:t>
      </w:r>
      <w:r>
        <w:rPr>
          <w:rFonts w:ascii="Times New Roman" w:cs="Times New Roman" w:eastAsia="Times New Roman" w:hAnsi="Times New Roman"/>
          <w:sz w:val="18"/>
          <w:szCs w:val="18"/>
          <w:b w:val="1"/>
          <w:bCs w:val="1"/>
          <w:u w:val="single" w:color="auto"/>
          <w:color w:val="auto"/>
        </w:rPr>
        <w:t>  Waivers</w:t>
      </w:r>
      <w:r>
        <w:rPr>
          <w:rFonts w:ascii="Times New Roman" w:cs="Times New Roman" w:eastAsia="Times New Roman" w:hAnsi="Times New Roman"/>
          <w:sz w:val="18"/>
          <w:szCs w:val="18"/>
          <w:color w:val="auto"/>
        </w:rPr>
        <w:t>. The failure of a Party to insist upon strict performance of any provision of this Agreement or to exercise any right arising out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7.7        </w:t>
      </w:r>
      <w:r>
        <w:rPr>
          <w:rFonts w:ascii="Times New Roman" w:cs="Times New Roman" w:eastAsia="Times New Roman" w:hAnsi="Times New Roman"/>
          <w:sz w:val="18"/>
          <w:szCs w:val="18"/>
          <w:b w:val="1"/>
          <w:bCs w:val="1"/>
          <w:u w:val="single" w:color="auto"/>
          <w:color w:val="auto"/>
        </w:rPr>
        <w:t>  Interpretation</w:t>
      </w:r>
      <w:r>
        <w:rPr>
          <w:rFonts w:ascii="Times New Roman" w:cs="Times New Roman" w:eastAsia="Times New Roman" w:hAnsi="Times New Roman"/>
          <w:sz w:val="18"/>
          <w:szCs w:val="18"/>
          <w:color w:val="auto"/>
        </w:rPr>
        <w:t>. The captions and headings to this Agreement are for convenience only and are to be of no force or effect in construing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interpreting any of the provisions of this Agreement. Unless specified to the contrary, references to Articles, Sections or Appendices mean the particular Articles, Sections or Appendices to this Agreement. Unless the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means notice in writing (whether or not specifically stated) and shall include notices, consents, approvals and other written communications contemplated under this Agreement; (d) the words “hereof,” “herein,” “hereby” and derivative or similar words refer to this Agreement as a whole and not merely to the particular provision in which such words appear; (e) the words “shall” and “will” have interchangeable meanings for purposes of this Agreement; (f) provisions that require that a Party or the Parties “agree,” “consent” or “approve” or the like shall require that such agreement, consent or approval be specific and in writing, whether by written agreement, letter, approved minutes or otherwise;</w:t>
      </w:r>
    </w:p>
    <w:p>
      <w:pPr>
        <w:spacing w:after="0" w:line="3" w:lineRule="exact"/>
        <w:rPr>
          <w:sz w:val="20"/>
          <w:szCs w:val="20"/>
          <w:color w:val="auto"/>
        </w:rPr>
      </w:pPr>
    </w:p>
    <w:p>
      <w:pPr>
        <w:ind w:left="280" w:hanging="272"/>
        <w:spacing w:after="0"/>
        <w:tabs>
          <w:tab w:leader="none" w:pos="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of any gender include the other gender; (h) words using the singular or plural number also include the plural or singular number, respectively;</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22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specific law, rule or regulation, or article, section or other division thereof, shall be deemed to include the then-current amendments thereto or any replacement law, rule or regulation thereof; and (j) neither Party shall be deemed to be acting on behalf of the other Party.</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7.8        </w:t>
      </w:r>
      <w:r>
        <w:rPr>
          <w:rFonts w:ascii="Times New Roman" w:cs="Times New Roman" w:eastAsia="Times New Roman" w:hAnsi="Times New Roman"/>
          <w:sz w:val="18"/>
          <w:szCs w:val="18"/>
          <w:b w:val="1"/>
          <w:bCs w:val="1"/>
          <w:u w:val="single" w:color="auto"/>
          <w:color w:val="auto"/>
        </w:rPr>
        <w:t>  Counterparts; Electronic Signatures</w:t>
      </w:r>
      <w:r>
        <w:rPr>
          <w:rFonts w:ascii="Times New Roman" w:cs="Times New Roman" w:eastAsia="Times New Roman" w:hAnsi="Times New Roman"/>
          <w:sz w:val="18"/>
          <w:szCs w:val="18"/>
          <w:color w:val="auto"/>
        </w:rPr>
        <w:t>. This Agreement may be executed in any number of counterparts, each of which is deemed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but all of which together constitute one instrument. This Agreement may be executed and delivered electronically and upon such delivery such electronic signature will be deemed to have the same effect as if the original signature had been delivered to the other Party.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7.9        </w:t>
      </w:r>
      <w:r>
        <w:rPr>
          <w:rFonts w:ascii="Times New Roman" w:cs="Times New Roman" w:eastAsia="Times New Roman" w:hAnsi="Times New Roman"/>
          <w:sz w:val="18"/>
          <w:szCs w:val="18"/>
          <w:b w:val="1"/>
          <w:bCs w:val="1"/>
          <w:u w:val="single" w:color="auto"/>
          <w:color w:val="auto"/>
        </w:rPr>
        <w:t>  Expenses</w:t>
      </w:r>
      <w:r>
        <w:rPr>
          <w:rFonts w:ascii="Times New Roman" w:cs="Times New Roman" w:eastAsia="Times New Roman" w:hAnsi="Times New Roman"/>
          <w:sz w:val="18"/>
          <w:szCs w:val="18"/>
          <w:color w:val="auto"/>
        </w:rPr>
        <w:t>. Each Party shall pay its own costs, charges and expenses incurred in connection with the negotiation, preparation, execution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7.10      </w:t>
      </w:r>
      <w:r>
        <w:rPr>
          <w:rFonts w:ascii="Times New Roman" w:cs="Times New Roman" w:eastAsia="Times New Roman" w:hAnsi="Times New Roman"/>
          <w:sz w:val="18"/>
          <w:szCs w:val="18"/>
          <w:b w:val="1"/>
          <w:bCs w:val="1"/>
          <w:u w:val="single" w:color="auto"/>
          <w:color w:val="auto"/>
        </w:rPr>
        <w:t>  Further Assurances</w:t>
      </w:r>
      <w:r>
        <w:rPr>
          <w:rFonts w:ascii="Times New Roman" w:cs="Times New Roman" w:eastAsia="Times New Roman" w:hAnsi="Times New Roman"/>
          <w:sz w:val="18"/>
          <w:szCs w:val="18"/>
          <w:color w:val="auto"/>
        </w:rPr>
        <w:t>. The Parties hereby covenant and agree, without the necessity of any further consideration, to execute, acknowledge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 any and all documents and take any action as may be reasonably necessary to carry out the intent and purposes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7.11      </w:t>
      </w:r>
      <w:r>
        <w:rPr>
          <w:rFonts w:ascii="Times New Roman" w:cs="Times New Roman" w:eastAsia="Times New Roman" w:hAnsi="Times New Roman"/>
          <w:sz w:val="18"/>
          <w:szCs w:val="18"/>
          <w:b w:val="1"/>
          <w:bCs w:val="1"/>
          <w:u w:val="single" w:color="auto"/>
          <w:color w:val="auto"/>
        </w:rPr>
        <w:t>  No Third Party Beneficiary Rights</w:t>
      </w:r>
      <w:r>
        <w:rPr>
          <w:rFonts w:ascii="Times New Roman" w:cs="Times New Roman" w:eastAsia="Times New Roman" w:hAnsi="Times New Roman"/>
          <w:sz w:val="18"/>
          <w:szCs w:val="18"/>
          <w:color w:val="auto"/>
        </w:rPr>
        <w:t>. This Agreement is not intended to and shall not be construed to give any Third Party any interest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(including any Third Party beneficiary rights) with respect to or in connection with any agreement or provision contained herein or contemplated hereby.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7.12      </w:t>
      </w:r>
      <w:r>
        <w:rPr>
          <w:rFonts w:ascii="Times New Roman" w:cs="Times New Roman" w:eastAsia="Times New Roman" w:hAnsi="Times New Roman"/>
          <w:sz w:val="18"/>
          <w:szCs w:val="18"/>
          <w:b w:val="1"/>
          <w:bCs w:val="1"/>
          <w:u w:val="single" w:color="auto"/>
          <w:color w:val="auto"/>
        </w:rPr>
        <w:t>  Construction</w:t>
      </w:r>
      <w:r>
        <w:rPr>
          <w:rFonts w:ascii="Times New Roman" w:cs="Times New Roman" w:eastAsia="Times New Roman" w:hAnsi="Times New Roman"/>
          <w:sz w:val="18"/>
          <w:szCs w:val="18"/>
          <w:color w:val="auto"/>
        </w:rPr>
        <w:t>. The Parties acknowledge and agree that (a) each Party and its counsel reviewed and negotiated the terms and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each Party and not in favor of or against either Party, regardless of which Party was generally responsible for the preparation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jc w:val="both"/>
        <w:ind w:firstLine="648"/>
        <w:spacing w:after="0" w:line="269" w:lineRule="auto"/>
        <w:rPr>
          <w:sz w:val="20"/>
          <w:szCs w:val="20"/>
          <w:color w:val="auto"/>
        </w:rPr>
      </w:pPr>
      <w:r>
        <w:rPr>
          <w:rFonts w:ascii="Times New Roman" w:cs="Times New Roman" w:eastAsia="Times New Roman" w:hAnsi="Times New Roman"/>
          <w:sz w:val="17"/>
          <w:szCs w:val="17"/>
          <w:b w:val="1"/>
          <w:bCs w:val="1"/>
          <w:color w:val="auto"/>
        </w:rPr>
        <w:t>7.13      </w:t>
      </w:r>
      <w:r>
        <w:rPr>
          <w:rFonts w:ascii="Times New Roman" w:cs="Times New Roman" w:eastAsia="Times New Roman" w:hAnsi="Times New Roman"/>
          <w:sz w:val="17"/>
          <w:szCs w:val="17"/>
          <w:b w:val="1"/>
          <w:bCs w:val="1"/>
          <w:u w:val="single" w:color="auto"/>
          <w:color w:val="auto"/>
        </w:rPr>
        <w:t>  Governing Law; Jurisdiction; Waiver of Jury Trial</w:t>
      </w:r>
      <w:r>
        <w:rPr>
          <w:rFonts w:ascii="Times New Roman" w:cs="Times New Roman" w:eastAsia="Times New Roman" w:hAnsi="Times New Roman"/>
          <w:sz w:val="17"/>
          <w:szCs w:val="17"/>
          <w:color w:val="auto"/>
        </w:rPr>
        <w:t>. This Agreement (and all claims or causes of action (whether in contract, tort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statute) that arise out of or relate to the Agreement) shall be governed by and construed in accordance with the laws of the State of New York, including its statute of limitations, without regard to the conflict of laws principles thereof that would require the application of the laws of any other jurisdiction. Any action brought under or arising out of this Agreement shall be brought in the (a) federal courts of the United States of America located in the City and County of New York, Borough of Manhattan or (b) the courts of the State of New York located in the City and County of New York, Borough of Manhattan (collectively, the “</w:t>
      </w:r>
      <w:r>
        <w:rPr>
          <w:rFonts w:ascii="Times New Roman" w:cs="Times New Roman" w:eastAsia="Times New Roman" w:hAnsi="Times New Roman"/>
          <w:sz w:val="17"/>
          <w:szCs w:val="17"/>
          <w:u w:val="single" w:color="auto"/>
          <w:color w:val="auto"/>
        </w:rPr>
        <w:t>Specified Courts</w:t>
      </w:r>
      <w:r>
        <w:rPr>
          <w:rFonts w:ascii="Times New Roman" w:cs="Times New Roman" w:eastAsia="Times New Roman" w:hAnsi="Times New Roman"/>
          <w:sz w:val="17"/>
          <w:szCs w:val="17"/>
          <w:color w:val="auto"/>
        </w:rPr>
        <w:t xml:space="preserve">”). Each Party hereby irrevocably submits to the exclusive jurisdiction of such Specified Courts in respect of any claim relating to the validity, interpretation and enforcement of this Agreement and hereby waives, and agrees not to assert, as a defense in any action, suit or proceeding in which any such claim is made that it is not subject to the jurisdiction of such court or that such action, suit or proceeding may not be brought or is not maintainable in such court, or that the venue thereof may not be appropriate or that this Agreement may not be enforced in or by such court. Each Party hereby consents to and grants the Specified Courts jurisdiction over such Party and over the subject matter of any such claim and agrees that mailing of process or other papers in connection with any such action, suit or proceeding in the manner provided in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of this Agreement or in such other manner as may be permitted by law, shall be valid and sufficient. Each of ProQR and Lilly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7.14      </w:t>
      </w:r>
      <w:r>
        <w:rPr>
          <w:rFonts w:ascii="Times New Roman" w:cs="Times New Roman" w:eastAsia="Times New Roman" w:hAnsi="Times New Roman"/>
          <w:sz w:val="18"/>
          <w:szCs w:val="18"/>
          <w:b w:val="1"/>
          <w:bCs w:val="1"/>
          <w:u w:val="single" w:color="auto"/>
          <w:color w:val="auto"/>
        </w:rPr>
        <w:t>  Equitable Relief</w:t>
      </w:r>
      <w:r>
        <w:rPr>
          <w:rFonts w:ascii="Times New Roman" w:cs="Times New Roman" w:eastAsia="Times New Roman" w:hAnsi="Times New Roman"/>
          <w:sz w:val="18"/>
          <w:szCs w:val="18"/>
          <w:color w:val="auto"/>
        </w:rPr>
        <w:t>. Each Party acknowledges and agrees that if it fails to perform any of its covenants or agreements or discharge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under this Agreement, irreparable damage could occur and any remedy at law may prove to be inadequate relief for the other Party. Accordingly, notwithstanding anything herein to the contrary, each Party shall be entitled (without any requirement to post bond) to seek injunctive relief and specific performance (including any relief or recovery under this Agreement) in any court of competent jurisdiction anywhere in the world (including the court designated in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of this Agreement).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7.15      </w:t>
      </w:r>
      <w:r>
        <w:rPr>
          <w:rFonts w:ascii="Times New Roman" w:cs="Times New Roman" w:eastAsia="Times New Roman" w:hAnsi="Times New Roman"/>
          <w:sz w:val="18"/>
          <w:szCs w:val="18"/>
          <w:b w:val="1"/>
          <w:bCs w:val="1"/>
          <w:u w:val="single" w:color="auto"/>
          <w:color w:val="auto"/>
        </w:rPr>
        <w:t>  Cumulative Remedies</w:t>
      </w:r>
      <w:r>
        <w:rPr>
          <w:rFonts w:ascii="Times New Roman" w:cs="Times New Roman" w:eastAsia="Times New Roman" w:hAnsi="Times New Roman"/>
          <w:sz w:val="18"/>
          <w:szCs w:val="18"/>
          <w:color w:val="auto"/>
        </w:rPr>
        <w:t>. No remedy referred to in this Agreement is intended to be exclusive unless explicitly stated to be so, but each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cumulative and in addition to any other remedy referred to in this Agreement or otherwise available under law.</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caused this Agreement to be executed as of the Execution Date by their duly authorized representatives.</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PROQR THERAPEUTICS N.V.</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Daniel de Boer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Daniel de Boer</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i w:val="1"/>
          <w:iCs w:val="1"/>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00"/>
          </w:cols>
          <w:pgMar w:left="980" w:top="900" w:right="619" w:bottom="1440" w:gutter="0" w:footer="0" w:header="0"/>
        </w:sectPr>
      </w:pPr>
    </w:p>
    <w:bookmarkStart w:id="79" w:name="page80"/>
    <w:bookmarkEnd w:id="79"/>
    <w:p>
      <w:pPr>
        <w:ind w:left="4520"/>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Andrew C. Adams,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Andrew C. Adams, Ph.D.</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Title: Group Vice President, Molecule Discovery</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DEFINED TERMS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entity that, at the relevant time (whether as of the Execution Date or thereafter), directly or indirectly through one or more intermediaries, controls, is controlled by, or is under common control with such Person, for so long as such control exists. For purposes of this definition, “control” means (a) to possess, directly or indirectly, the power to direct or cause the direction of the management or policies of an entity, whether through ownership of voting securities or by contract relating to voting rights or corporate governance, or (b) direct or indirect ownership of fifty percent (50%) (or such lesser percentage that is the maximum allowed to be owned by a foreign entity in a particular jurisdiction) or more of the voting share capital or other equity interest in such entity.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supervisory board of directors of ProQR.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any Saturday, Sunday or any day that banks are authorized or required to be closed in Amsterdam, The Netherlands or Indianapolis, Indiana.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with respect to ProQR, (a) the acquisition by a Third Party, in one transaction or a series of related transactions, of direct or indirect beneficial ownership of more than fifty percent (50%) of the outstanding voting equity securities of ProQR (excluding, for clarity, an acquisition by a Third Party where the equity holders of ProQR immediately prior to such transaction hold a majority of the outstanding voting equity securities of the Third Party acquiror immediately following such transaction); (b) a merger or consolidation to which ProQR is a party as a result of which</w:t>
      </w:r>
    </w:p>
    <w:p>
      <w:pPr>
        <w:spacing w:after="0" w:line="3" w:lineRule="exact"/>
        <w:rPr>
          <w:sz w:val="20"/>
          <w:szCs w:val="20"/>
          <w:color w:val="auto"/>
        </w:rPr>
      </w:pPr>
    </w:p>
    <w:p>
      <w:pPr>
        <w:jc w:val="both"/>
        <w:ind w:firstLine="8"/>
        <w:spacing w:after="0" w:line="253" w:lineRule="auto"/>
        <w:tabs>
          <w:tab w:leader="none" w:pos="21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or more of the ProQR capital stock is converted to cash or (ii) the equityholders of ProQR immediately prior to such transaction own less than fifty percent (50%) of the combined voting power of the surviving entity or the parent of the surviving entity immediately following such merger or consolidation; or (c) a sale, exclusive license or other transfer of all or substantially all of the assets of ProQR in one transaction or a series of related transactions to a Third Party.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with respect to any Person, any legally binding written or oral contracts, agreements, indentures, bonds, loans, leases, subleases, licenses, sublicenses, instruments, notes and arrangements to which such Person is a party or by which any of its properties or assets are subject.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 of</w:t>
      </w:r>
      <w:r>
        <w:rPr>
          <w:rFonts w:ascii="Times New Roman" w:cs="Times New Roman" w:eastAsia="Times New Roman" w:hAnsi="Times New Roman"/>
          <w:sz w:val="18"/>
          <w:szCs w:val="18"/>
          <w:color w:val="auto"/>
        </w:rPr>
        <w:t>” means (a) pledge, sale, contract to sell, sale of any option or Contract to purchase, purchase of any option or Contract to sell, grant of any option, right or warrant for the sale of, or other disposition of or transfer of any Ordinary Shares, or any options, warrants or other securities or rights convertible into or exercisable or exchangeable for, Ordinary Shares, including, without limitation, any “short sale” or similar arrangement, or (b) swap, hedge, derivative instrument or any other agreement or any transaction that transfers, in whole or in part, directly or indirectly, the economic consequence of ownership of the Ordinary Shares, whether any such swap or transaction is to be settled by delivery of securities, in cash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national, international, federal, state, provincial or local government, or political subdivision thereof, or any multinational organization or any authority, agency or commission entitled to exercise any administrative, executive, judicial, legislative, police, regulatory or taxing authority or power, and any court or tribunal (or any department, bureau or division thereof, or any governmental arbitrator or arbitral body).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International Financial Reporting Standards.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ProQR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ProQR’s Knowledge</w:t>
      </w:r>
      <w:r>
        <w:rPr>
          <w:rFonts w:ascii="Times New Roman" w:cs="Times New Roman" w:eastAsia="Times New Roman" w:hAnsi="Times New Roman"/>
          <w:sz w:val="18"/>
          <w:szCs w:val="18"/>
          <w:color w:val="auto"/>
        </w:rPr>
        <w:t>” or any other similar knowledge qualification, means the actual or constructive knowledge of any officer of ProQR, after due inquiry.</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any change, event or occurrence that, individually or in the aggregate with any other changes, events or circumstances, has had or would reasonably be expected to have (a) a material adverse effect on the business, financial condition, assets or results of operations of ProQR or its subsidiaries, taken as a whole, or (b) a material adverse effect on ProQR’s ability to perform its obligations hereunder or consummate the transactions contemplated hereby;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in no event shall any of the following occurring after the date hereof, alone or in combination, be deemed to constitute, or be taken into account in determining whether a Material Adverse Effect has occurred: (i) changes in ProQR’s industry generally or in conditions in the United States or global economy or capital or financial markets generally, including changes in interest or exchange rates, (ii) any change, event or occurrence caused by the announcement or pendency of the transactions contemplated hereby, (iii) the performance of this Agreement and the transactions contemplated hereby, or any action taken or omitted to be taken by ProQR at the request or with the prior consent of Lilly, (iv) changes in general legal, regulatory, political, economic or business conditions occurring after the date hereof that, in each case, generally affect the biotechnology or biopharmaceutical industries, (v) acts of war, sabotage or terrorism occurring after the date hereof, or any escalation or worsening of any such acts of war, sabotage or terrorism, or (vi) earthquakes, hurricanes, floods or other natural disasters occurring after the date hereof; provided, however, that with respect to clauses (i), (iv), (v) and (vi), such effects, alone or in combination, may be deemed to constitute, or be taken into account in determining whether a Material Adverse Effect has occurred, but only to the extent such effects disproportionately affect ProQR compared to other companies in the biotechnology or biopharmaceutical industries.</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means all Contracts in effect as of the Execution Date that are required to be filed as exhibits to ProQR’s annual report on Form 20-F.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means an Affiliate of Lilly;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Person shall be deemed a Permitted Transferee for any purpose under this Agreement unless: (a) the Permitted Transferee shall have agreed in writing to be subject to and bound by the terms of this Agreement as though it were “Lilly” hereunder, and (b) Lilly acknowledges that it continues to be bound by the terms of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corporation, limited or general partnership, limited liability company, joint venture, trust, unincorporated association, governmental body, authority, bureau or agency, any other entity or body, or an individual.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Proportionate Interest</w:t>
      </w:r>
      <w:r>
        <w:rPr>
          <w:rFonts w:ascii="Times New Roman" w:cs="Times New Roman" w:eastAsia="Times New Roman" w:hAnsi="Times New Roman"/>
          <w:sz w:val="18"/>
          <w:szCs w:val="18"/>
          <w:color w:val="auto"/>
        </w:rPr>
        <w:t>” means 15.59%.</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Shares will cease to be Registrable Securities when such Shares have been sold or otherwise Disposed of pursuant to an effective Registration Statement or otherwise.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means a registration effected by preparing and filing (a) a Registration Statement in compliance with the Securities Act (and any post effective amendments filed or required to be filed) and the declaration or ordering of effectiveness of such Registration Statement, or (b) a Prospectus and/or Prospectus supplement in respect of an appropriate effective Registration Statement.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of ProQR that covers the resale of any Registrable Securities pursuant to the provisions of Appendix 2 filed with, or to be filed with, the SEC under the rules and regulations promulgated under the Securities Act, including the related Prospectus, amendments and supplements to each such registration statement or Prospectus, including pre- and post-effective amendments, all exhibits thereto, financial information and all other material incorporated by reference or deemed to be incorporated by reference in such registration statement.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SEC thereunder.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means a “shelf” registration statement of ProQR that covers all Registrable Securities on Form F-3 and under Rule 415 under the Securities Act or, if ProQR is not then eligible to file on Form F-3, on another eligible form under the Securities Act, or any successor rule that may be adopted by the SEC, including without limitation any such registration statement filed pursuant to Appendix 2 and all amendments and supplements to such “shelf” registration statement, including, post-effective amendments, in each case, including the Prospectus contained therein, all exhibits thereto and any document incorporated by reference therein.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all federal, state, local, and foreign income, excise, gross receipts, gross income, ad valorem, profits, gains, property, capital, sales, transfer, use, payroll, employment, severance, withholding, duties, intangibles, franchise, backup withholding, value- added, and other taxes imposed by a Governmental Authority, together with all interest, penalties and additions to tax imposed with respect thereto.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shall mean a report, return or other document (including any amendments thereto) required to be supplied to a Governmental Authority with respect to Taxes.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Lilly or ProQR (or its respective Affiliates).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Tender/Exchange Offer</w:t>
      </w:r>
      <w:r>
        <w:rPr>
          <w:rFonts w:ascii="Times New Roman" w:cs="Times New Roman" w:eastAsia="Times New Roman" w:hAnsi="Times New Roman"/>
          <w:sz w:val="18"/>
          <w:szCs w:val="18"/>
          <w:color w:val="auto"/>
        </w:rPr>
        <w:t>” means any tender or exchange offer made to all of the holders of Ordinary Shares by a Third Party (other than a Third Party acting on behalf of or as part of a group or in concert with Lilly).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and the agreements, documents and instruments to be executed and delivered pursuant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means, with respect to any Underwritten Offering, a securities dealer who purchases any Registrable Securities as a principal in connection with a distribution of such Registrable Securities.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means a public offering of securities Registered under the Securities Act in which an Underwriter participates in the distribution of such securities, including on a firm commitment basis for reoffer and resale to the public, including any such offering that is a “bought deal” or a block trade.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Appendix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APPENDIX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2"/>
          <w:szCs w:val="12"/>
          <w:b w:val="1"/>
          <w:bCs w:val="1"/>
          <w:u w:val="single" w:color="auto"/>
          <w:color w:val="auto"/>
        </w:rPr>
        <w:t>egistration</w:t>
      </w:r>
      <w:r>
        <w:rPr>
          <w:rFonts w:ascii="Times New Roman" w:cs="Times New Roman" w:eastAsia="Times New Roman" w:hAnsi="Times New Roman"/>
          <w:sz w:val="18"/>
          <w:szCs w:val="18"/>
          <w:b w:val="1"/>
          <w:bCs w:val="1"/>
          <w:u w:val="single" w:color="auto"/>
          <w:color w:val="auto"/>
        </w:rPr>
        <w:t xml:space="preserve"> R</w:t>
      </w:r>
      <w:r>
        <w:rPr>
          <w:rFonts w:ascii="Times New Roman" w:cs="Times New Roman" w:eastAsia="Times New Roman" w:hAnsi="Times New Roman"/>
          <w:sz w:val="12"/>
          <w:szCs w:val="12"/>
          <w:b w:val="1"/>
          <w:bCs w:val="1"/>
          <w:u w:val="single" w:color="auto"/>
          <w:color w:val="auto"/>
        </w:rPr>
        <w:t>ights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Resale Registration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1.1           On or prior to the first (1st) Business Day following the expiration of the Lockup Period, ProQR will file a Shelf Registration Statement registering for resale the Registrable Securities under the Securities Act. ProQR shall use its commercially reasonable efforts to cause such Shelf Registration Statement to become effective as promptly as practicable after filing. Until the earlier of such time as (a) all Registrable Securities cease to be Registrable Securities or (b) ProQR is no longer eligible to maintain a Shelf Registration Statement, ProQR will keep current and effective such Shelf Registration Statement and file such supplements or amendments to such Shelf Registration Statement (or file a new Shelf Registration Statement when such preceding Shelf Registration Statement expires pursuant to the rules of the SEC) as may be necessary or appropriate in order to keep such Shelf Registration Statement continuously effective and useable for the resale of Registrable Securities under the Securities Act in order to fulfill a Shelf Underwritten Offering Request (as defined below). The Shelf Registration Statement shall include the Plan of Distribution attached hereto as Annex A.</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1.2           Lilly may use the Shelf Registration Statement to dispose of Registrable Securities pursuant to an Underwritten Offering from which it reasonably expects to receive gross proceeds of at least $10.0 million in the aggregate from such Underwritten Offering. Upon written notice from Lilly to ProQR of Lilly’s intention to sell Registrable Securities in such manner, ProQR shall, at Lilly’s request (a “</w:t>
      </w:r>
      <w:r>
        <w:rPr>
          <w:rFonts w:ascii="Times New Roman" w:cs="Times New Roman" w:eastAsia="Times New Roman" w:hAnsi="Times New Roman"/>
          <w:sz w:val="18"/>
          <w:szCs w:val="18"/>
          <w:u w:val="single" w:color="auto"/>
          <w:color w:val="auto"/>
        </w:rPr>
        <w:t>Shelf Underwritten Offering Request</w:t>
      </w:r>
      <w:r>
        <w:rPr>
          <w:rFonts w:ascii="Times New Roman" w:cs="Times New Roman" w:eastAsia="Times New Roman" w:hAnsi="Times New Roman"/>
          <w:sz w:val="18"/>
          <w:szCs w:val="18"/>
          <w:color w:val="auto"/>
        </w:rPr>
        <w:t>”), enter into an underwriting agreement in a form as is customary in Underwritten Offerings of securities by ProQR with the underwriter or underwriters selected by Lilly and reasonably acceptable to ProQR and shall take all such other reasonable actions as are requested by the managing underwriter of such Underwritten Offering and/or Lilly in order to expedite or facilitate the disposition of such Registrable Securities (“</w:t>
      </w:r>
      <w:r>
        <w:rPr>
          <w:rFonts w:ascii="Times New Roman" w:cs="Times New Roman" w:eastAsia="Times New Roman" w:hAnsi="Times New Roman"/>
          <w:sz w:val="18"/>
          <w:szCs w:val="18"/>
          <w:u w:val="single" w:color="auto"/>
          <w:color w:val="auto"/>
        </w:rPr>
        <w:t>Shelf Underwritten Offering</w:t>
      </w:r>
      <w:r>
        <w:rPr>
          <w:rFonts w:ascii="Times New Roman" w:cs="Times New Roman" w:eastAsia="Times New Roman" w:hAnsi="Times New Roman"/>
          <w:sz w:val="18"/>
          <w:szCs w:val="18"/>
          <w:color w:val="auto"/>
        </w:rPr>
        <w:t>”); provided, that in no event shall ProQR have any obligation to facilitate or participate in more than two (2) Shelf Underwritten Offerings.</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1.3           If the filing, initial effectiveness or use of the Shelf Registration Statement at any time would require ProQR to make a public disclosure of material non-public information that ProQR has a bona fide business purpose, in good faith, for not disclosing publicly at such time, ProQR may, upon giving prompt written notice of such action to Lilly, delay the filing or initial effectiveness of, or suspend use of, the Shelf Registration Statement (a “</w:t>
      </w:r>
      <w:r>
        <w:rPr>
          <w:rFonts w:ascii="Times New Roman" w:cs="Times New Roman" w:eastAsia="Times New Roman" w:hAnsi="Times New Roman"/>
          <w:sz w:val="18"/>
          <w:szCs w:val="18"/>
          <w:b w:val="1"/>
          <w:bCs w:val="1"/>
          <w:u w:val="single" w:color="auto"/>
          <w:color w:val="auto"/>
        </w:rPr>
        <w:t>Suspension</w:t>
      </w:r>
      <w:r>
        <w:rPr>
          <w:rFonts w:ascii="Times New Roman" w:cs="Times New Roman" w:eastAsia="Times New Roman" w:hAnsi="Times New Roman"/>
          <w:sz w:val="18"/>
          <w:szCs w:val="18"/>
          <w:color w:val="auto"/>
        </w:rPr>
        <w:t>”). ProQR shall use commercially reasonable efforts to make routine public disclosures about its business in the ordinary course consistent with past practice and subject to and in compliance with applicable law. In the case of a Suspension, Lilly agrees to suspend use of the applicable Prospectus in connection with any sale or purchase, or offer to sell or purchase, Shares, upon receipt of the notice referred to above. ProQR shall immediately notify Lilly in writing upon the termination of any Suspension, amend or supplement the Prospectus, if necessary, so it does not contain any untrue statement or omission and furnish to Lilly such numbers of copies of the Prospectus as so amended or supplemented as Lilly may reasonably request. ProQR shall, if necessary, supplement or amend the Shelf Registration Statement, if required by law or as may reasonably be requested by Lilly.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Information</w:t>
      </w:r>
      <w:r>
        <w:rPr>
          <w:rFonts w:ascii="Times New Roman" w:cs="Times New Roman" w:eastAsia="Times New Roman" w:hAnsi="Times New Roman"/>
          <w:sz w:val="18"/>
          <w:szCs w:val="18"/>
          <w:color w:val="auto"/>
        </w:rPr>
        <w:t>. ProQR may require Lilly to furnish to ProQR such information regarding the distribution of the Shares and such other information relating to Lilly and its ownership of Shares as ProQR may from time to time reasonably request in writing to the extent that such information is required to be included in the Shelf Registration Statement.</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All expenses incurred by the parties with respect to each Shelf Underwritten Offering (including, for the avoidance of doubt, expenses relating to the preparation, filing and effectiveness of the Shelf Registration Statement) shall be borne fifty percent (50%) by ProQR on the one hand and fifty percent (50%) by Lilly on the other hand, and each party shall account for its own expenses and promptly submit to the other one or more requests for reimbursement in accordance with such cost-sharing arrangement; provided that in the event that ProQR incurs reasonable and documented expenses in excess of $75,000, Lilly shall promptly, upon written notice by ProQR, reimburse ProQR for any such excess amounts. The expenses described in the foregoing sentence shall include (a) all registration and filing fees, and any other fees and expenses associated with filings required to be made with the SEC or Financial Industry Regulatory Authority, (b) all fees and expenses in connection with compliance with any securities or “Blue Sky” laws (including reasonable fees and disbursements of counsel for the Underwriters in connection with blue sky qualifications of the Shares), (c) all printing, duplicating, word processing, messenger, telephone, facsimile and delivery expenses (including expenses of printing certificates for the Shares in a form eligible for deposit with The Depository Trust Company), (d) all fees and disbursements of counsels (including non-U.S. counsels) for ProQR and of all independent certified public accountants or independent auditors of ProQR and any of its Subsidiaries (including the expenses of any special audit and comfort letters required by or incident to such performance), (e) [reserved], (f) all fees and expenses incurred in connection with the listing of the Shares on any securities exchange or quotation of the Shares on any inter-dealer quotation system, and (g) [reserved]. In addition, notwithstanding the foregoing, ProQR shall not be required to pay any underwriting discounts and commissions and transfer Taxes, if any, attributable to the sale of the Shares.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ProQR shall notify Lilly immediately upon (a) any request by the SEC or any other Federal or state Governmental Authority for amendments or supplements to a Shelf Registration Statement or for additional information that pertains to Lilly as a selling stockholder; (b) the issuance by the SEC of any stop order suspending the effectiveness of the Shelf Registration Statement or any order by the SEC or any other regulatory authority preventing or suspending the use of any Prospectus or the initiation or threatening of any proceedings for such purposes, (c) receipt by ProQR of any notification with respect to the suspension of the qualification of the Shares for offering or sale in any jurisdiction or the initiation or threatening of any proceeding for such purpose, or (d) ProQR becoming aware that the Shelf Registration Statement or the related Prospectus contains any untrue statement of a material fact or omits to state a material fact necessary to make the statements therein (in the case of such Prospectus, in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5.1           To the extent permitted by Law, ProQR will indemnify and hold harmless Lilly, its officers, directors, agents, partners, members, stockholders and employees, as applicable, and each Person who controls Lilly (within the meaning of the Securities Act or the Exchange Act), and the officers, directors, agents, partners, members, stockholders and employees of each such controlling Person, from and against any and all losses, claims, liabilities, damages, deficiencies, assessments, fines, judgments, fees, costs (including, without limitation, reasonable costs of preparation and reasonable attorneys’ fees) and expenses (collectively “</w:t>
      </w:r>
      <w:r>
        <w:rPr>
          <w:rFonts w:ascii="Times New Roman" w:cs="Times New Roman" w:eastAsia="Times New Roman" w:hAnsi="Times New Roman"/>
          <w:sz w:val="18"/>
          <w:szCs w:val="18"/>
          <w:b w:val="1"/>
          <w:bCs w:val="1"/>
          <w:u w:val="single" w:color="auto"/>
          <w:color w:val="auto"/>
        </w:rPr>
        <w:t>Losses</w:t>
      </w:r>
      <w:r>
        <w:rPr>
          <w:rFonts w:ascii="Times New Roman" w:cs="Times New Roman" w:eastAsia="Times New Roman" w:hAnsi="Times New Roman"/>
          <w:sz w:val="18"/>
          <w:szCs w:val="18"/>
          <w:color w:val="auto"/>
        </w:rPr>
        <w:t>”) (joint or several), as incurred, to which they may become subject under the Securities Act, the Exchange Act or other federal or state law, insofar as such Losses (or actions in respect thereof) arise out of, relate to, or are based upon any of the following statements, omissions or violations (collectively a “</w:t>
      </w:r>
      <w:r>
        <w:rPr>
          <w:rFonts w:ascii="Times New Roman" w:cs="Times New Roman" w:eastAsia="Times New Roman" w:hAnsi="Times New Roman"/>
          <w:sz w:val="18"/>
          <w:szCs w:val="18"/>
          <w:b w:val="1"/>
          <w:bCs w:val="1"/>
          <w:u w:val="single" w:color="auto"/>
          <w:color w:val="auto"/>
        </w:rPr>
        <w:t>Violation</w:t>
      </w:r>
      <w:r>
        <w:rPr>
          <w:rFonts w:ascii="Times New Roman" w:cs="Times New Roman" w:eastAsia="Times New Roman" w:hAnsi="Times New Roman"/>
          <w:sz w:val="18"/>
          <w:szCs w:val="18"/>
          <w:color w:val="auto"/>
        </w:rPr>
        <w:t xml:space="preserve">”) by ProQR: (a) any untrue statement or alleged untrue statement of a material fact contained in the Shelf Registration Statement or incorporated by reference therein, including any Prospectus contained therein or any amendments or supplements thereto, (b) the omission or alleged omission to state therein a material fact required to be stated therein, or necessary to make the statements therein not misleading, or (c) any violation or alleged violation by ProQR of the Securities Act, the Exchange Act, any state securities Law, or any rule or regulation promulgated under the Securities Act, the Exchange Act or any state securities Law in connection with the Shelf Registration Statement; and ProQR will reimburse each such indemnified party for any legal or other expenses reasonably incurred by them in connection with investigating or defending any such Loss or action;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will not apply to amounts paid in settlement of any such Loss or action if such settlement is effected without ProQR’s consent, nor will ProQR be liable in any such case for any such Loss to the extent that it arises out of or is based upon a Violation which occurs in reliance upon and in conformity with written information furnished by Lilly and stated to be expressly for use in connection with the Shelf Registration Statement or an applicable Prospectus.</w:t>
      </w:r>
    </w:p>
    <w:p>
      <w:pPr>
        <w:spacing w:after="0" w:line="19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5.2           To the extent permitted by Law, Lilly will indemnify and hold harmless ProQR and each of its directors, officers and controlling Person against any Losses (joint or several) to which ProQR or any such director, officer or controlling Person may become subject under the Securities Act, the Exchange Act or other federal or state law, insofar as such Losses (or actions in respect thereto) arise out of or are based upon any of the following statements: (a) any untrue statement or alleged untrue statement of a material fact contained in any Registration Statement or any other document incorporated reference therein, including any preliminary Prospectus or final Prospectus contained therein or any amendments or supplements thereto, or</w:t>
      </w:r>
    </w:p>
    <w:p>
      <w:pPr>
        <w:spacing w:after="0" w:line="3" w:lineRule="exact"/>
        <w:rPr>
          <w:sz w:val="20"/>
          <w:szCs w:val="20"/>
          <w:color w:val="auto"/>
        </w:rPr>
      </w:pPr>
    </w:p>
    <w:p>
      <w:pPr>
        <w:jc w:val="both"/>
        <w:ind w:firstLine="8"/>
        <w:spacing w:after="0" w:line="251" w:lineRule="auto"/>
        <w:tabs>
          <w:tab w:leader="none" w:pos="25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omission or alleged omission to state therein a material fact required to be stated therein, or necessary to make the statements therein not misleading (collectively, a “</w:t>
      </w:r>
      <w:r>
        <w:rPr>
          <w:rFonts w:ascii="Times New Roman" w:cs="Times New Roman" w:eastAsia="Times New Roman" w:hAnsi="Times New Roman"/>
          <w:sz w:val="18"/>
          <w:szCs w:val="18"/>
          <w:b w:val="1"/>
          <w:bCs w:val="1"/>
          <w:u w:val="single" w:color="auto"/>
          <w:color w:val="auto"/>
        </w:rPr>
        <w:t>Lilly Violation</w:t>
      </w:r>
      <w:r>
        <w:rPr>
          <w:rFonts w:ascii="Times New Roman" w:cs="Times New Roman" w:eastAsia="Times New Roman" w:hAnsi="Times New Roman"/>
          <w:sz w:val="18"/>
          <w:szCs w:val="18"/>
          <w:color w:val="auto"/>
        </w:rPr>
        <w:t xml:space="preserve">”), in each case to the extent (and only to the extent) that such Lilly Violation occurs in reliance upon and in conformity with written information furnished by Lilly and stated to be expressly for use in connection with the Shelf Registration Statement or an applicable Prospectus; and Lilly will reimburse any legal or other expenses reasonably incurred by ProQR or any such director, officer, controlling Person or other Third Party in connection with investigating or defending any such Loss or action if it is judicially determined that there was such a Lilly Violation;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will not apply to amounts paid in settlement of any such Loss or action if such settlement is effected without Lilly’s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obligations of Lilly hereunder shall be limited to an amount equal to the net proceeds it receives in such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5.3           Promptly after receipt by an indemnified party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notice of the commencement of any action (including any governmental action), such indemnified party will, if a claim in respect thereof is to be made against any indemnifying party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deliver to the indemnifying party a written notice of the commencement thereof and the indemnifying party will have the right to participate in, and, to the extent the indemnifying party so desires, jointly with any other indemnifying party similarly noticed, to assume the defense thereof with counsel mutually satisfactory to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indemnified party will have the right to retain its own counsel, with the fees and expenses thereof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will relieve such indemnifying party of any liability to the indemnified party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to the extent, and only to the extent, prejudicial to its ability to defend such action, but the omission so to deliver written notice to the indemnifying party will not relieve it of any liability that it may have to any indemnified party otherwise than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5.4           If the indemnification provided for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is held by a court of competent jurisdiction to be unavailable to an indemnified party with respect to any Losses referred to herein, the indemnifying party, in lieu of indemnifying such indemnified party thereunder, will to the extent permitted by applicable Law contribute to the amount paid or payable by such indemnified party as a result of such Loss in such proportion as is appropriate to reflect the relative fault of the indemnifying party, on the one hand, and of the indemnified party, on the other, in connection with the Violation(s) or Lilly Violation(s), as applicable, that resulted in such Loss, as well as any other relevant equitable considerations. The relative fault of the indemnifying party and of the indemnified party will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obligations of Lilly hereunder shall be limited to an amount equal to the net proceeds it receives in such Registration;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Person guilty of fraudulent misrepresentation within the meaning of Section 11(f) of the Securities Act shall be entitled to contribution from any Person who was not guilty of such fraudulent misrepresentation.</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5.5           The obligations of ProQR and Lilly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will survive termination of this Agreement and the expiration or withdrawal of the Shelf Registration Statement. No indemnifying party, in the defense of any such claim or litigation, will,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selling securityholders, including their pledgees, donees, transferees, distributees, beneficiaries or other successors in interest, may from time to time offer some or all of the ordinary shares (collectively, “</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color w:val="auto"/>
        </w:rPr>
        <w:t>”) covered by this prospectus. To the extent required, this prospectus may be amended and supplemented from time to time to describe a specific plan of distribution.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securityholders may sell the Securities covered by this prospectus from time to time, and may also decide not to sell all or any of the Securities that they are allowed to sell under this prospectus. We will not receive any proceeds from the sale of Securities. The selling securityholders will act independently of us in making decisions regarding the timing, manner and size of each sale. These dispositions may be at fixed prices, at market prices prevailing at the time of sale, at prices related to such prevailing market prices, at varying prices determined at the time of sale, or at privately negotiated prices. Sales may be made by the selling securityholders in one or more types of transactions, which may include:</w:t>
      </w:r>
    </w:p>
    <w:p>
      <w:pPr>
        <w:spacing w:after="0" w:line="183" w:lineRule="exact"/>
        <w:rPr>
          <w:sz w:val="20"/>
          <w:szCs w:val="20"/>
          <w:color w:val="auto"/>
        </w:rPr>
      </w:pPr>
    </w:p>
    <w:p>
      <w:pPr>
        <w:ind w:left="1300" w:hanging="644"/>
        <w:spacing w:after="0" w:line="282"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underwriters, dealers and agents who may receive compensation in the form of underwriting discounts, concessions or commissions from the selling securityholders and/or the purchasers of the Securities for whom they may act as agent;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block transactions, including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or transactions in which a broker solicits purchases;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or market maker,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Securities for any loan or obligation, including pledges to brokers or dealers who may from time to time effect distributions of Securities, and, in the case of any collateral call or default on such loan or obligation, pledges or sales of Securities by such pledgees or secured parties;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or transactions to cover short sales relating to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exchanges or over the counter market transactions;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distribution by a selling securityholder or its successor in interest to its members, general or limited partners or shareholders (or their respective members, general or limited partners 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writing of options, whether the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creditors and equity holders of the selling securityholders;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or any other available means allowable under applicable law.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selling securityholder may also resell all or a portion of its Securities in open market transactions in reliance upon Rule 144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provided it meets the criteria and conforms to the requirements of Rule 144 under the Securities Act and all applicable laws and regulations.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selling securityholders may enter into sale, forward sale and derivative transactions with third parties, or may sell securities not covered by this prospectus to third parties in privately negotiated transactions. In connection with those sale, forward sale or derivative transactions, the third parties may sell Securities covered by this prospectus, including in short sale transactions and by issuing securities that are not covered by this prospectus but are exchangeable for or represent beneficial interests in the ordinary shares. The third parties also may use ordinary shares received under those sale, forward sale or derivative arrangements or ordinary shares pledged by the selling securityholder or borrowed from the selling securityholders or others to settle such third-party sales or to close out any related open borrowings of ordinary shares. The third parties may deliver this prospectus in connection with any such transactions. Any third party in such sale transactions will be an underwriter and will be identified in a supplement or a post- effective amendment to the registration statement of which this prospectus is a part, as may be required.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selling securityholders may engage in hedging transactions with broker- dealers in connection with distributions of Securities or otherwise. In those transactions, broker- dealers may engage in short sales of securities in the course of hedging the positions they assume with selling securityholders. The selling securityholders may also sell securities short and redeliver securities to close out such short positions. The selling securityholders may also enter into option or other transactions with broker-dealers which require the delivery of securities to the broker-dealer. The broker-dealer may then resell or otherwise transfer such securities pursuant to this prospectus. The selling securityholders also may loan or pledge Securities, and the borrower or pledgee may sell or otherwise transfer the Securities so loaned or pledged pursuant to this prospectus. Such borrower or pledgee also may transfer those Securities to investors in our securities or the selling securityholders’ securities in connection with the offering of other securities not covered by this prospectus.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necessary, the specific terms of the offering of Securities, including the specific Securities to be sold, the names of the selling securityholders, the respective purchase prices and public offering prices, the names of any underwriter, broker-dealer or agent, if any, and any applicable compensation in the form of discounts, concessions or commissions paid to underwriters or agents or paid or allowed to dealers will be set forth in a supplement to this prospectus or a post-effective amendment to this registration statement of which this prospectus forms a part. The selling securityholders may, or may authorize underwriters, dealers and agents to, solicit offers from specified institutions to purchase Securities from the selling securityholders. These sales may be made under “delayed delivery contracts” or other purchase contracts that provide for payment and delivery on a specified future date. If necessary, any such contracts will be described and be subject to the conditions set forth in a supplement to this prospectus or a post- effective amendment to this registration statement of which this prospectus forms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or agents may receive compensation in the form of commissions, discounts or concessions from the selling securityholders. Broker-dealers or agents may also receive compensation from the purchasers of Securities for whom they act as agents or to whom they sell as principals, or both. Compensation to a particular broker-dealer might be in excess of customary commissions and will be in amounts to be negotiated in connection with transactions involving securities. In effecting sales, broker-dealers engaged by the selling securityholders may arrange for other broker-dealers to participate in the resales.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sales of Securities covered hereby, the selling securityholders and any underwriter, broker-dealer or agent and any other participating broker-dealer that executes sales for the selling securityholders may be deemed to be an “underwriter” within the meaning of the Securities Act. Accordingly, any profits realized by the selling securityholders and any compensation earned by such underwriter, broker-dealer or agent may be deemed to be underwriting discounts and commissions. Selling securityholders who are “underwriters” under the Securities Act must deliver this prospectus in the manner required by the Securities Act. This prospectus delivery requirement may be satisfied through the facilities of the national exchange on which the Securities are then traded in accordance with Rule 153 under the Securities Act or satisfied in accordance with Rule 174 under the Securities Act.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and the selling securityholders have agreed to indemnify each other against certain liabilities, including liabilities under the Securities Act. In addition, we or the selling securityholders may agree to indemnify any underwriters, broker-dealers and agents against or contribute to any payments the underwriters, broker-dealers or agents may be required to make with respect to, civil liabilities, including liabilities under the Securities Act. Underwriters, broker- dealers and agents and their affiliates are permitted to be customers of, engage in transactions with, or perform services for us and our affiliates or the selling securityholders or their affiliates in the ordinary course of business.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comply with applicable securities laws of some states or countries, the Securities may only be sold in those jurisdictions through registered or licensed brokers or dealers and in compliance with applicable laws and regulations. In addition, in certain states or countries the Securities may not be sold unless they have been registered or qualified for sale in the applicable state or country or an exemption from the registration or qualification requirements is available. In addition, any Securities of a selling securityholder covered by this prospectus that qualify for sale pursuant to Rule 144 under the Securities Act may be sold in open market transactions under Rule 144 rather than pursuant to this prospectus.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an offering of Securities under this prospectus, the underwriters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an offering. Stabilizing transactions consist of certain bids or purchases made for the purpose of preventing or retarding a decline in the market price of the securities while an offering is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the underwriters have repurchased securities sold by or for the account of that underwriter in stabilizing or short-covering transactions.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activities by the underwriters may stabilize, maintain or otherwise affect the market price of the Securities offered under this prospectus. As a result, the price of the Securities may be higher than the price that otherwise might exist in the open market. If these activities are commenced, they may be discontinued by the underwriters at any time. These transactions may be effected on the Nasdaq Stock Market or another securities exchange or automated quotation system, or in the over-the-counter market or otherwise.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ProQR Prices $50.0 Million Underwritten Registered Direct Offering and Concurrent Private Placement</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LEIDEN, Netherlands and CAMBRIDGE, Mass., June 25, 2026 -- ProQR Therapeutics N.V. (Nasdaq: PRQR) (“ProQR”), a clinical-stage biotechnology company dedicated to changing lives through transformative RNA therapies based on its proprietary Axiomer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RNA editing technology platform, today announced the pricing of an underwritten registered direct offering of 27,624,310 ordinary shares (the “Offering”) at an offering price of $1.81 per share (the “Offering Price”), for total gross proceeds of approximately $50.0 million, before deducting underwriting discounts and commissions and other offering expenses payable by ProQR.</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with the Offering, ProQR has entered into a share purchase agreement with Eli Lilly and Company (“Lilly”), one of its existing shareholders and a strategic partner, in a separately negotiated transaction pursuant to which ProQR agreed to offer and sell, and Lilly agreed to purchase, 5,100,780 ordinary shares, to permit Lilly to maintain its pro rata beneficial ownership, at the Offering Price, for total gross proceeds of approximately $9.2 million, subject to the consummation of the Offering and the satisfaction of other customary closing conditions. The sale of ordinary shares to Lilly in the concurrent private placement will not be registered as part of the Offering. The closing of the Offering is not contingent upon the closing of the concurrent private placement. The ordinary shares purchased in the concurrent private placement will not be subject to any underwriting discounts or commissions.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ordinary shares to be sold in the concurrent private placement are being issued pursuant to the exemptions provided by Section 4(a)(2) of the Securities Act of 1933, as amended (the “Securities Act”). These shares have not been registered under the Securities Act, or any state or other applicable jurisdiction’s securities laws, and may not be offered or sold in the United States absent registration or an applicable exemption from the registration requirements of the Securities Act and applicable state or other jurisdiction’s securities laws.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ProQR currently intends to use the net proceeds from the Offering and the concurrent private placement, together with its existing cash and cash equivalents, primarily to fund research and clinical development of its current or additional pipeline candidates and for working capital, capital expenditures and other general corporate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BofA Securities, Evercore ISI and Cantor are acting as joint lead bookrunning managers for the Offering, and Oppenheimer &amp; Co. is acting as a bookrunning manager for the Offering. The Offering and concurrent private placement are expected to close on or about June 26, 2026, subject to the satisfaction of customary closing conditions.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shelf registration statement on Form F-3 relating to the Offering (including the accompanying prospectus) was filed with the Securities and Exchange Commission (the “SEC”) on September 30, 2024 and was declared effective on October 10, 2024. The Offering is being made only by means of a prospectus and prospectus supplement that form a part of the registration statement. A final prospectus supplement relating to and describing the final terms of the Offering will be filed with the SEC. When available, copies of the final prospectus supplement and the accompanying prospectus relating to the Offering may be obtained from: BofA Securities, NC1-022-02-25, Attention: Prospectus Department, 201 North Tryon Street, Charlotte, NC, 28255-0001, or by email at dg.prospectus_requests@bofa.com; Evercore Group L.L.C., Attention: Equity Capital Markets, 55 East 52nd Street, 35th Floor, New York, New York 10055, by telephone at (888) 474-0200 or by email at ecm.prospectus@evercore.com; or Cantor Fitzgerald &amp; Co., Attention: Capital Markets, 110 East 59th Street, 6th Floor, New York, New York 10022 or by email at prospectus@cantor.com. You may also obtain these documents free of charge by visiting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ProQR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ProQR Therapeutics is dedicated to changing lives through the creation of transformative RNA therapies. ProQR is pioneering a next-generation RNA technology called Axiomer™, which uses a cell’s own editing machinery called ADAR to make specific single nucleotide edits in RNA to reverse a mutation or modulate protein expression and could potentially yield a new class of medicines for both rare and prevalent diseases with unmet need. Based on its unique proprietary RNA repair platform technologies ProQR is growing its pipeline with patients and loved ones in mind.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are forward-looking statements, which are often indicated by terms such as “anticipate,” “believe,” “could,” “estimate,” “expect,” “goal,” “intend,” “look forward to,” “may,” “plan,” “potential,” “predict,” “project,” “should,” “will,” “would” and similar expressions. Forward-looking statements are based on management’s beliefs and assumptions and on information available to management only as of the date of this press release. These forward-looking statements include, but are not limited to, statements about the expected timing, completion and intended use of proceeds of the Offering and the concurrent private placement. Such forward-looking statements involve risks and uncertainties, many of which are beyond ProQR’s control, including risks and uncertainties related to market conditions and satisfaction of customary closing conditions related to the Offering and the concurrent private placement. There can be no assurance that ProQR will be able to complete the Offering and the concurrent private placement on the anticipated terms, or at all. Applicable risks also include those that are included in ProQR’s final prospectus supplement and accompanying prospectus to be filed with the SEC for the Offering, including the documents incorporated by reference therein, which include ProQR’s Annual Report on Form 20-F for the year ended December 31, 2025, and any subsequent SEC filings. Given these risks, uncertainties and other factors, you should not place undue reliance on these forward-looking statements, and ProQR assumes no obligation to update these forward-looking statements, even if new information becomes available in the future, except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ProQR Therapeutics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Kiely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ProQR Therapeutics N.V.</w:t>
      </w:r>
    </w:p>
    <w:p>
      <w:pPr>
        <w:spacing w:after="0" w:line="9" w:lineRule="exact"/>
        <w:rPr>
          <w:sz w:val="20"/>
          <w:szCs w:val="20"/>
          <w:color w:val="auto"/>
        </w:rPr>
      </w:pPr>
    </w:p>
    <w:p>
      <w:pPr>
        <w:ind w:right="9800" w:firstLine="8"/>
        <w:spacing w:after="0" w:line="255" w:lineRule="auto"/>
        <w:tabs>
          <w:tab w:leader="none" w:pos="1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+1 617 599 6228 skiely@proqr.com 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Kelleher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ind w:right="9000" w:firstLine="8"/>
        <w:spacing w:after="0" w:line="260" w:lineRule="auto"/>
        <w:tabs>
          <w:tab w:leader="none" w:pos="1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+1 617 430 7579 pkelleher@lifesciadvisors.com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lowerLetter"/>
      <w:start w:val="1"/>
    </w:lvl>
    <w:lvl w:ilvl="1">
      <w:lvlJc w:val="left"/>
      <w:lvlText w:val="(%2)"/>
      <w:numFmt w:val="lowerLetter"/>
      <w:start w:val="9"/>
    </w:lvl>
  </w:abstractNum>
  <w:abstractNum w:abstractNumId="1">
    <w:nsid w:val="419AC241"/>
    <w:multiLevelType w:val="hybridMultilevel"/>
    <w:lvl w:ilvl="0">
      <w:lvlJc w:val="left"/>
      <w:lvlText w:val="(%1)"/>
      <w:numFmt w:val="lowerRoman"/>
      <w:start w:val="2"/>
    </w:lvl>
  </w:abstractNum>
  <w:abstractNum w:abstractNumId="2">
    <w:nsid w:val="5577F8E1"/>
    <w:multiLevelType w:val="hybridMultilevel"/>
    <w:lvl w:ilvl="0">
      <w:lvlJc w:val="left"/>
      <w:lvlText w:val="(%1)"/>
      <w:numFmt w:val="lowerRoman"/>
      <w:start w:val="3"/>
    </w:lvl>
  </w:abstractNum>
  <w:abstractNum w:abstractNumId="3">
    <w:nsid w:val="440BADFC"/>
    <w:multiLevelType w:val="hybridMultilevel"/>
    <w:lvl w:ilvl="0">
      <w:lvlJc w:val="left"/>
      <w:lvlText w:val="(%1)"/>
      <w:numFmt w:val="lowerRoman"/>
      <w:start w:val="8"/>
    </w:lvl>
  </w:abstractNum>
  <w:abstractNum w:abstractNumId="4">
    <w:nsid w:val="5072367"/>
    <w:multiLevelType w:val="hybridMultilevel"/>
    <w:lvl w:ilvl="0">
      <w:lvlJc w:val="left"/>
      <w:lvlText w:val="(%1)"/>
      <w:numFmt w:val="lowerRoman"/>
      <w:start w:val="12"/>
    </w:lvl>
  </w:abstractNum>
  <w:abstractNum w:abstractNumId="5">
    <w:nsid w:val="3804823E"/>
    <w:multiLevelType w:val="hybridMultilevel"/>
    <w:lvl w:ilvl="0">
      <w:lvlJc w:val="left"/>
      <w:lvlText w:val="(%1)"/>
      <w:numFmt w:val="lowerRoman"/>
      <w:start w:val="15"/>
    </w:lvl>
  </w:abstractNum>
  <w:abstractNum w:abstractNumId="6">
    <w:nsid w:val="77465F01"/>
    <w:multiLevelType w:val="hybridMultilevel"/>
    <w:lvl w:ilvl="0">
      <w:lvlJc w:val="left"/>
      <w:lvlText w:val="(%1)"/>
      <w:numFmt w:val="lowerRoman"/>
      <w:start w:val="20"/>
    </w:lvl>
  </w:abstractNum>
  <w:abstractNum w:abstractNumId="7">
    <w:nsid w:val="7724C67E"/>
    <w:multiLevelType w:val="hybridMultilevel"/>
    <w:lvl w:ilvl="0">
      <w:lvlJc w:val="left"/>
      <w:lvlText w:val="(%1)"/>
      <w:numFmt w:val="lowerRoman"/>
      <w:start w:val="22"/>
    </w:lvl>
  </w:abstractNum>
  <w:abstractNum w:abstractNumId="8">
    <w:nsid w:val="5C482A97"/>
    <w:multiLevelType w:val="hybridMultilevel"/>
    <w:lvl w:ilvl="0">
      <w:lvlJc w:val="left"/>
      <w:lvlText w:val="%1"/>
      <w:numFmt w:val="upperLetter"/>
      <w:start w:val="1"/>
    </w:lvl>
    <w:lvl w:ilvl="1">
      <w:lvlJc w:val="left"/>
      <w:lvlText w:val="(%2)"/>
      <w:numFmt w:val="lowerRoman"/>
      <w:start w:val="24"/>
    </w:lvl>
  </w:abstractNum>
  <w:abstractNum w:abstractNumId="9">
    <w:nsid w:val="2463B9EA"/>
    <w:multiLevelType w:val="hybridMultilevel"/>
    <w:lvl w:ilvl="0">
      <w:lvlJc w:val="left"/>
      <w:lvlText w:val="(%1)"/>
      <w:numFmt w:val="upperLetter"/>
      <w:start w:val="2"/>
    </w:lvl>
    <w:lvl w:ilvl="1">
      <w:lvlJc w:val="left"/>
      <w:lvlText w:val="%2"/>
      <w:numFmt w:val="lowerRoman"/>
      <w:start w:val="1"/>
    </w:lvl>
  </w:abstractNum>
  <w:abstractNum w:abstractNumId="10">
    <w:nsid w:val="5E884ADC"/>
    <w:multiLevelType w:val="hybridMultilevel"/>
    <w:lvl w:ilvl="0">
      <w:lvlJc w:val="left"/>
      <w:lvlText w:val="(%1)"/>
      <w:numFmt w:val="upperLetter"/>
      <w:start w:val="5"/>
    </w:lvl>
    <w:lvl w:ilvl="1">
      <w:lvlJc w:val="left"/>
      <w:lvlText w:val="%2"/>
      <w:numFmt w:val="lowerRoman"/>
      <w:start w:val="1"/>
    </w:lvl>
  </w:abstractNum>
  <w:abstractNum w:abstractNumId="11">
    <w:nsid w:val="51EAD36B"/>
    <w:multiLevelType w:val="hybridMultilevel"/>
    <w:lvl w:ilvl="0">
      <w:lvlJc w:val="left"/>
      <w:lvlText w:val="(%1)"/>
      <w:numFmt w:val="lowerRoman"/>
      <w:start w:val="26"/>
    </w:lvl>
  </w:abstractNum>
  <w:abstractNum w:abstractNumId="12">
    <w:nsid w:val="2D517796"/>
    <w:multiLevelType w:val="hybridMultilevel"/>
    <w:lvl w:ilvl="0">
      <w:lvlJc w:val="left"/>
      <w:lvlText w:val="(%1)"/>
      <w:numFmt w:val="lowerRoman"/>
      <w:start w:val="28"/>
    </w:lvl>
  </w:abstractNum>
  <w:abstractNum w:abstractNumId="13">
    <w:nsid w:val="580BD78F"/>
    <w:multiLevelType w:val="hybridMultilevel"/>
    <w:lvl w:ilvl="0">
      <w:lvlJc w:val="left"/>
      <w:lvlText w:val="(%1)"/>
      <w:numFmt w:val="lowerRoman"/>
      <w:start w:val="30"/>
    </w:lvl>
  </w:abstractNum>
  <w:abstractNum w:abstractNumId="14">
    <w:nsid w:val="153EA438"/>
    <w:multiLevelType w:val="hybridMultilevel"/>
    <w:lvl w:ilvl="0">
      <w:lvlJc w:val="left"/>
      <w:lvlText w:val="(%1)"/>
      <w:numFmt w:val="lowerRoman"/>
      <w:start w:val="34"/>
    </w:lvl>
  </w:abstractNum>
  <w:abstractNum w:abstractNumId="15">
    <w:nsid w:val="3855585C"/>
    <w:multiLevelType w:val="hybridMultilevel"/>
    <w:lvl w:ilvl="0">
      <w:lvlJc w:val="left"/>
      <w:lvlText w:val="(%1)"/>
      <w:numFmt w:val="lowerRoman"/>
      <w:start w:val="35"/>
    </w:lvl>
  </w:abstractNum>
  <w:abstractNum w:abstractNumId="16">
    <w:nsid w:val="70A64E2A"/>
    <w:multiLevelType w:val="hybridMultilevel"/>
    <w:lvl w:ilvl="0">
      <w:lvlJc w:val="left"/>
      <w:lvlText w:val="(%1)"/>
      <w:numFmt w:val="lowerRoman"/>
      <w:start w:val="39"/>
    </w:lvl>
  </w:abstractNum>
  <w:abstractNum w:abstractNumId="17">
    <w:nsid w:val="6A2342EC"/>
    <w:multiLevelType w:val="hybridMultilevel"/>
    <w:lvl w:ilvl="0">
      <w:lvlJc w:val="left"/>
      <w:lvlText w:val="§"/>
      <w:numFmt w:val="bullet"/>
      <w:start w:val="1"/>
    </w:lvl>
    <w:lvl w:ilvl="1">
      <w:lvlJc w:val="left"/>
      <w:lvlText w:val="(%2)"/>
      <w:numFmt w:val="lowerLetter"/>
      <w:start w:val="2"/>
    </w:lvl>
  </w:abstractNum>
  <w:abstractNum w:abstractNumId="18">
    <w:nsid w:val="2A487CB0"/>
    <w:multiLevelType w:val="hybridMultilevel"/>
    <w:lvl w:ilvl="0">
      <w:lvlJc w:val="left"/>
      <w:lvlText w:val="(%1)"/>
      <w:numFmt w:val="lowerLetter"/>
      <w:start w:val="1"/>
    </w:lvl>
  </w:abstractNum>
  <w:abstractNum w:abstractNumId="19">
    <w:nsid w:val="1D4ED43B"/>
    <w:multiLevelType w:val="hybridMultilevel"/>
    <w:lvl w:ilvl="0">
      <w:lvlJc w:val="left"/>
      <w:lvlText w:val="%1"/>
      <w:numFmt w:val="lowerLetter"/>
      <w:start w:val="1"/>
    </w:lvl>
    <w:lvl w:ilvl="1">
      <w:lvlJc w:val="left"/>
      <w:lvlText w:val="(%2)"/>
      <w:numFmt w:val="lowerLetter"/>
      <w:start w:val="1"/>
    </w:lvl>
  </w:abstractNum>
  <w:abstractNum w:abstractNumId="20">
    <w:nsid w:val="725A06FB"/>
    <w:multiLevelType w:val="hybridMultilevel"/>
    <w:lvl w:ilvl="0">
      <w:lvlJc w:val="left"/>
      <w:lvlText w:val="(%1)"/>
      <w:numFmt w:val="lowerLetter"/>
      <w:start w:val="9"/>
    </w:lvl>
    <w:lvl w:ilvl="1">
      <w:lvlJc w:val="left"/>
      <w:lvlText w:val="%2"/>
      <w:numFmt w:val="lowerLetter"/>
      <w:start w:val="1"/>
    </w:lvl>
  </w:abstractNum>
  <w:abstractNum w:abstractNumId="21">
    <w:nsid w:val="2CD89A32"/>
    <w:multiLevelType w:val="hybridMultilevel"/>
    <w:lvl w:ilvl="0">
      <w:lvlJc w:val="left"/>
      <w:lvlText w:val="(%1)"/>
      <w:numFmt w:val="lowerLetter"/>
      <w:start w:val="2"/>
    </w:lvl>
  </w:abstractNum>
  <w:abstractNum w:abstractNumId="22">
    <w:nsid w:val="57E4CCAF"/>
    <w:multiLevelType w:val="hybridMultilevel"/>
    <w:lvl w:ilvl="0">
      <w:lvlJc w:val="left"/>
      <w:lvlText w:val="(%1)"/>
      <w:numFmt w:val="lowerLetter"/>
      <w:start w:val="4"/>
    </w:lvl>
  </w:abstractNum>
  <w:abstractNum w:abstractNumId="23">
    <w:nsid w:val="7A6D8D3C"/>
    <w:multiLevelType w:val="hybridMultilevel"/>
    <w:lvl w:ilvl="0">
      <w:lvlJc w:val="left"/>
      <w:lvlText w:val="%1"/>
      <w:numFmt w:val="lowerLetter"/>
      <w:start w:val="1"/>
    </w:lvl>
    <w:lvl w:ilvl="1">
      <w:lvlJc w:val="left"/>
      <w:lvlText w:val="(%2)"/>
      <w:numFmt w:val="lowerLetter"/>
      <w:start w:val="9"/>
    </w:lvl>
  </w:abstractNum>
  <w:abstractNum w:abstractNumId="24">
    <w:nsid w:val="4B588F54"/>
    <w:multiLevelType w:val="hybridMultilevel"/>
    <w:lvl w:ilvl="0">
      <w:lvlJc w:val="left"/>
      <w:lvlText w:val="(%1)"/>
      <w:numFmt w:val="lowerLetter"/>
      <w:start w:val="3"/>
    </w:lvl>
    <w:lvl w:ilvl="1">
      <w:lvlJc w:val="left"/>
      <w:lvlText w:val="%2"/>
      <w:numFmt w:val="lowerLetter"/>
      <w:start w:val="1"/>
    </w:lvl>
  </w:abstractNum>
  <w:abstractNum w:abstractNumId="25">
    <w:nsid w:val="542289EC"/>
    <w:multiLevelType w:val="hybridMultilevel"/>
    <w:lvl w:ilvl="0">
      <w:lvlJc w:val="left"/>
      <w:lvlText w:val="(%1)"/>
      <w:numFmt w:val="lowerLetter"/>
      <w:start w:val="10"/>
    </w:lvl>
  </w:abstractNum>
  <w:abstractNum w:abstractNumId="26">
    <w:nsid w:val="6DE91B18"/>
    <w:multiLevelType w:val="hybridMultilevel"/>
    <w:lvl w:ilvl="0">
      <w:lvlJc w:val="left"/>
      <w:lvlText w:val="(%1)"/>
      <w:numFmt w:val="lowerLetter"/>
      <w:start w:val="1"/>
    </w:lvl>
  </w:abstractNum>
  <w:abstractNum w:abstractNumId="27">
    <w:nsid w:val="38437FDB"/>
    <w:multiLevelType w:val="hybridMultilevel"/>
    <w:lvl w:ilvl="0">
      <w:lvlJc w:val="left"/>
      <w:lvlText w:val="(%1)"/>
      <w:numFmt w:val="lowerLetter"/>
      <w:start w:val="1"/>
    </w:lvl>
  </w:abstractNum>
  <w:abstractNum w:abstractNumId="28">
    <w:nsid w:val="7644A45C"/>
    <w:multiLevelType w:val="hybridMultilevel"/>
    <w:lvl w:ilvl="0">
      <w:lvlJc w:val="left"/>
      <w:lvlText w:val="%1"/>
      <w:numFmt w:val="lowerLetter"/>
      <w:start w:val="1"/>
    </w:lvl>
    <w:lvl w:ilvl="1">
      <w:lvlJc w:val="left"/>
      <w:lvlText w:val="(%2)"/>
      <w:numFmt w:val="lowerLetter"/>
      <w:start w:val="7"/>
    </w:lvl>
  </w:abstractNum>
  <w:abstractNum w:abstractNumId="29">
    <w:nsid w:val="32FFF902"/>
    <w:multiLevelType w:val="hybridMultilevel"/>
    <w:lvl w:ilvl="0">
      <w:lvlJc w:val="left"/>
      <w:lvlText w:val="(%1)"/>
      <w:numFmt w:val="lowerLetter"/>
      <w:start w:val="9"/>
    </w:lvl>
    <w:lvl w:ilvl="1">
      <w:lvlJc w:val="left"/>
      <w:lvlText w:val="(%2)"/>
      <w:numFmt w:val="lowerLetter"/>
      <w:start w:val="9"/>
    </w:lvl>
  </w:abstractNum>
  <w:abstractNum w:abstractNumId="30">
    <w:nsid w:val="684A481A"/>
    <w:multiLevelType w:val="hybridMultilevel"/>
    <w:lvl w:ilvl="0">
      <w:lvlJc w:val="left"/>
      <w:lvlText w:val="(%1)"/>
      <w:numFmt w:val="lowerLetter"/>
      <w:start w:val="12"/>
    </w:lvl>
  </w:abstractNum>
  <w:abstractNum w:abstractNumId="31">
    <w:nsid w:val="579478FE"/>
    <w:multiLevelType w:val="hybridMultilevel"/>
    <w:lvl w:ilvl="0">
      <w:lvlJc w:val="left"/>
      <w:lvlText w:val="(%1)"/>
      <w:numFmt w:val="lowerLetter"/>
      <w:start w:val="1"/>
    </w:lvl>
    <w:lvl w:ilvl="1">
      <w:lvlJc w:val="left"/>
      <w:lvlText w:val="(%2)"/>
      <w:numFmt w:val="lowerLetter"/>
      <w:start w:val="9"/>
    </w:lvl>
  </w:abstractNum>
  <w:abstractNum w:abstractNumId="32">
    <w:nsid w:val="749ABB43"/>
    <w:multiLevelType w:val="hybridMultilevel"/>
    <w:lvl w:ilvl="0">
      <w:lvlJc w:val="left"/>
      <w:lvlText w:val="(%1)"/>
      <w:numFmt w:val="lowerRoman"/>
      <w:start w:val="2"/>
    </w:lvl>
  </w:abstractNum>
  <w:abstractNum w:abstractNumId="33">
    <w:nsid w:val="3DC240FB"/>
    <w:multiLevelType w:val="hybridMultilevel"/>
    <w:lvl w:ilvl="0">
      <w:lvlJc w:val="left"/>
      <w:lvlText w:val="(%1)"/>
      <w:numFmt w:val="lowerLetter"/>
      <w:start w:val="2"/>
    </w:lvl>
  </w:abstractNum>
  <w:abstractNum w:abstractNumId="34">
    <w:nsid w:val="1BA026FA"/>
    <w:multiLevelType w:val="hybridMultilevel"/>
    <w:lvl w:ilvl="0">
      <w:lvlJc w:val="left"/>
      <w:lvlText w:val="%1"/>
      <w:numFmt w:val="lowerLetter"/>
      <w:start w:val="1"/>
    </w:lvl>
    <w:lvl w:ilvl="1">
      <w:lvlJc w:val="left"/>
      <w:lvlText w:val="(%2)"/>
      <w:numFmt w:val="lowerLetter"/>
      <w:start w:val="4"/>
    </w:lvl>
  </w:abstractNum>
  <w:abstractNum w:abstractNumId="35">
    <w:nsid w:val="79A1DEAA"/>
    <w:multiLevelType w:val="hybridMultilevel"/>
    <w:lvl w:ilvl="0">
      <w:lvlJc w:val="left"/>
      <w:lvlText w:val="(%1)"/>
      <w:numFmt w:val="lowerLetter"/>
      <w:start w:val="35"/>
    </w:lvl>
    <w:lvl w:ilvl="1">
      <w:lvlJc w:val="left"/>
      <w:lvlText w:val="%2"/>
      <w:numFmt w:val="lowerLetter"/>
      <w:start w:val="1"/>
    </w:lvl>
  </w:abstractNum>
  <w:abstractNum w:abstractNumId="36">
    <w:nsid w:val="75C6C33A"/>
    <w:multiLevelType w:val="hybridMultilevel"/>
    <w:lvl w:ilvl="0">
      <w:lvlJc w:val="left"/>
      <w:lvlText w:val="%1"/>
      <w:numFmt w:val="lowerRoman"/>
      <w:start w:val="1"/>
    </w:lvl>
    <w:lvl w:ilvl="1">
      <w:lvlJc w:val="left"/>
      <w:lvlText w:val="(%2)"/>
      <w:numFmt w:val="lowerLetter"/>
      <w:start w:val="1"/>
    </w:lvl>
  </w:abstractNum>
  <w:abstractNum w:abstractNumId="37">
    <w:nsid w:val="12E685FB"/>
    <w:multiLevelType w:val="hybridMultilevel"/>
    <w:lvl w:ilvl="0">
      <w:lvlJc w:val="left"/>
      <w:lvlText w:val="(%1)"/>
      <w:numFmt w:val="lowerRoman"/>
      <w:start w:val="6"/>
    </w:lvl>
    <w:lvl w:ilvl="1">
      <w:lvlJc w:val="left"/>
      <w:lvlText w:val="(%2)"/>
      <w:numFmt w:val="lowerLetter"/>
      <w:start w:val="2"/>
    </w:lvl>
  </w:abstractNum>
  <w:abstractNum w:abstractNumId="38">
    <w:nsid w:val="70C6A529"/>
    <w:multiLevelType w:val="hybridMultilevel"/>
    <w:lvl w:ilvl="0">
      <w:lvlJc w:val="left"/>
      <w:lvlText w:val="(%1)"/>
      <w:numFmt w:val="lowerRoman"/>
      <w:start w:val="1"/>
    </w:lvl>
  </w:abstractNum>
  <w:abstractNum w:abstractNumId="39">
    <w:nsid w:val="520EEDD1"/>
    <w:multiLevelType w:val="hybridMultilevel"/>
    <w:lvl w:ilvl="0">
      <w:lvlJc w:val="left"/>
      <w:lvlText w:val="(%1)"/>
      <w:numFmt w:val="lowerLetter"/>
      <w:start w:val="1"/>
    </w:lvl>
  </w:abstractNum>
  <w:abstractNum w:abstractNumId="40">
    <w:nsid w:val="374A3FE6"/>
    <w:multiLevelType w:val="hybridMultilevel"/>
    <w:lvl w:ilvl="0">
      <w:lvlJc w:val="left"/>
      <w:lvlText w:val="(%1)"/>
      <w:numFmt w:val="lowerLetter"/>
      <w:start w:val="2"/>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1."/>
      <w:numFmt w:val="decimal"/>
      <w:start w:val="3"/>
    </w:lvl>
  </w:abstractNum>
  <w:abstractNum w:abstractNumId="43">
    <w:nsid w:val="649BB77C"/>
    <w:multiLevelType w:val="hybridMultilevel"/>
    <w:lvl w:ilvl="0">
      <w:lvlJc w:val="left"/>
      <w:lvlText w:val="(%1)"/>
      <w:numFmt w:val="lowerRoman"/>
      <w:start w:val="7"/>
    </w:lvl>
    <w:lvl w:ilvl="1">
      <w:lvlJc w:val="left"/>
      <w:lvlText w:val="(%2)"/>
      <w:numFmt w:val="lowerRoman"/>
      <w:start w:val="1"/>
    </w:lvl>
  </w:abstractNum>
  <w:abstractNum w:abstractNumId="44">
    <w:nsid w:val="275AC794"/>
    <w:multiLevelType w:val="hybridMultilevel"/>
    <w:lvl w:ilvl="0">
      <w:lvlJc w:val="left"/>
      <w:lvlText w:val="(%1)"/>
      <w:numFmt w:val="lowerRoman"/>
      <w:start w:val="8"/>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1)"/>
      <w:numFmt w:val="lowerLetter"/>
      <w:start w:val="1"/>
    </w:lvl>
  </w:abstractNum>
  <w:abstractNum w:abstractNumId="47">
    <w:nsid w:val="180115BE"/>
    <w:multiLevelType w:val="hybridMultilevel"/>
    <w:lvl w:ilvl="0">
      <w:lvlJc w:val="left"/>
      <w:lvlText w:val="%1."/>
      <w:numFmt w:val="decimal"/>
      <w:start w:val="2"/>
    </w:lvl>
    <w:lvl w:ilvl="1">
      <w:lvlJc w:val="left"/>
      <w:lvlText w:val="(%2)"/>
      <w:numFmt w:val="lowerLetter"/>
      <w:start w:val="1"/>
    </w:lvl>
  </w:abstractNum>
  <w:abstractNum w:abstractNumId="48">
    <w:nsid w:val="235BA861"/>
    <w:multiLevelType w:val="hybridMultilevel"/>
    <w:lvl w:ilvl="0">
      <w:lvlJc w:val="left"/>
      <w:lvlText w:val="%1"/>
      <w:numFmt w:val="decimal"/>
      <w:start w:val="1"/>
    </w:lvl>
    <w:lvl w:ilvl="1">
      <w:lvlJc w:val="left"/>
      <w:lvlText w:val="(%2)"/>
      <w:numFmt w:val="lowerLetter"/>
      <w:start w:val="4"/>
    </w:lvl>
  </w:abstractNum>
  <w:abstractNum w:abstractNumId="49">
    <w:nsid w:val="47398C89"/>
    <w:multiLevelType w:val="hybridMultilevel"/>
    <w:lvl w:ilvl="0">
      <w:lvlJc w:val="left"/>
      <w:lvlText w:val="%1."/>
      <w:numFmt w:val="decimal"/>
      <w:start w:val="3"/>
    </w:lvl>
    <w:lvl w:ilvl="1">
      <w:lvlJc w:val="left"/>
      <w:lvlText w:val="%2"/>
      <w:numFmt w:val="lowerLetter"/>
      <w:start w:val="1"/>
    </w:lvl>
  </w:abstractNum>
  <w:abstractNum w:abstractNumId="50">
    <w:nsid w:val="354FE9F9"/>
    <w:multiLevelType w:val="hybridMultilevel"/>
    <w:lvl w:ilvl="0">
      <w:lvlJc w:val="left"/>
      <w:lvlText w:val="(%1)"/>
      <w:numFmt w:val="lowerRoman"/>
      <w:start w:val="2"/>
    </w:lvl>
  </w:abstractNum>
  <w:abstractNum w:abstractNumId="51">
    <w:nsid w:val="15B5AF5C"/>
    <w:multiLevelType w:val="hybridMultilevel"/>
    <w:lvl w:ilvl="0">
      <w:lvlJc w:val="left"/>
      <w:lvlText w:val="%1."/>
      <w:numFmt w:val="decimal"/>
      <w:start w:val="4"/>
    </w:lvl>
    <w:lvl w:ilvl="1">
      <w:lvlJc w:val="left"/>
      <w:lvlText w:val="(%2)"/>
      <w:numFmt w:val="lowerLetter"/>
      <w:start w:val="1"/>
    </w:lvl>
  </w:abstractNum>
  <w:abstractNum w:abstractNumId="52">
    <w:nsid w:val="741226BB"/>
    <w:multiLevelType w:val="hybridMultilevel"/>
    <w:lvl w:ilvl="0">
      <w:lvlJc w:val="left"/>
      <w:lvlText w:val="%1"/>
      <w:numFmt w:val="decimal"/>
      <w:start w:val="1"/>
    </w:lvl>
    <w:lvl w:ilvl="1">
      <w:lvlJc w:val="left"/>
      <w:lvlText w:val="(%2)"/>
      <w:numFmt w:val="lowerLetter"/>
      <w:start w:val="4"/>
    </w:lvl>
  </w:abstractNum>
  <w:abstractNum w:abstractNumId="53">
    <w:nsid w:val="D34B6A8"/>
    <w:multiLevelType w:val="hybridMultilevel"/>
    <w:lvl w:ilvl="0">
      <w:lvlJc w:val="left"/>
      <w:lvlText w:val="%1."/>
      <w:numFmt w:val="decimal"/>
      <w:start w:val="6"/>
    </w:lvl>
    <w:lvl w:ilvl="1">
      <w:lvlJc w:val="left"/>
      <w:lvlText w:val="%2"/>
      <w:numFmt w:val="lowerLetter"/>
      <w:start w:val="1"/>
    </w:lvl>
  </w:abstractNum>
  <w:abstractNum w:abstractNumId="54">
    <w:nsid w:val="10233C99"/>
    <w:multiLevelType w:val="hybridMultilevel"/>
    <w:lvl w:ilvl="0">
      <w:lvlJc w:val="left"/>
      <w:lvlText w:val="(%1)"/>
      <w:numFmt w:val="lowerLetter"/>
      <w:start w:val="1"/>
    </w:lvl>
  </w:abstractNum>
  <w:abstractNum w:abstractNumId="55">
    <w:nsid w:val="3F6AB60F"/>
    <w:multiLevelType w:val="hybridMultilevel"/>
    <w:lvl w:ilvl="0">
      <w:lvlJc w:val="left"/>
      <w:lvlText w:val="(%1)"/>
      <w:numFmt w:val="lowerLetter"/>
      <w:start w:val="2"/>
    </w:lvl>
  </w:abstractNum>
  <w:abstractNum w:abstractNumId="56">
    <w:nsid w:val="61574095"/>
    <w:multiLevelType w:val="hybridMultilevel"/>
    <w:lvl w:ilvl="0">
      <w:lvlJc w:val="left"/>
      <w:lvlText w:val="(%1)"/>
      <w:numFmt w:val="lowerLetter"/>
      <w:start w:val="1"/>
    </w:lvl>
  </w:abstractNum>
  <w:abstractNum w:abstractNumId="57">
    <w:nsid w:val="7E0C57B1"/>
    <w:multiLevelType w:val="hybridMultilevel"/>
    <w:lvl w:ilvl="0">
      <w:lvlJc w:val="left"/>
      <w:lvlText w:val="(%1)"/>
      <w:numFmt w:val="upperLetter"/>
      <w:start w:val="3"/>
    </w:lvl>
  </w:abstractNum>
  <w:abstractNum w:abstractNumId="58">
    <w:nsid w:val="77AE35EB"/>
    <w:multiLevelType w:val="hybridMultilevel"/>
    <w:lvl w:ilvl="0">
      <w:lvlJc w:val="left"/>
      <w:lvlText w:val="(%1)"/>
      <w:numFmt w:val="upperLetter"/>
      <w:start w:val="35"/>
    </w:lvl>
  </w:abstractNum>
  <w:abstractNum w:abstractNumId="59">
    <w:nsid w:val="579BE4F1"/>
    <w:multiLevelType w:val="hybridMultilevel"/>
    <w:lvl w:ilvl="0">
      <w:lvlJc w:val="left"/>
      <w:lvlText w:val="(%1)"/>
      <w:numFmt w:val="lowerLetter"/>
      <w:start w:val="7"/>
    </w:lvl>
  </w:abstractNum>
  <w:abstractNum w:abstractNumId="60">
    <w:nsid w:val="310C50B3"/>
    <w:multiLevelType w:val="hybridMultilevel"/>
    <w:lvl w:ilvl="0">
      <w:lvlJc w:val="left"/>
      <w:lvlText w:val="(%1)"/>
      <w:numFmt w:val="lowerLetter"/>
      <w:start w:val="9"/>
    </w:lvl>
  </w:abstractNum>
  <w:abstractNum w:abstractNumId="61">
    <w:nsid w:val="5FF87E05"/>
    <w:multiLevelType w:val="hybridMultilevel"/>
    <w:lvl w:ilvl="0">
      <w:lvlJc w:val="left"/>
      <w:lvlText w:val="(%1)"/>
      <w:numFmt w:val="lowerRoman"/>
      <w:start w:val="1"/>
    </w:lvl>
  </w:abstractNum>
  <w:abstractNum w:abstractNumId="62">
    <w:nsid w:val="2F305DEF"/>
    <w:multiLevelType w:val="hybridMultilevel"/>
    <w:lvl w:ilvl="0">
      <w:lvlJc w:val="left"/>
      <w:lvlText w:val="(%1)"/>
      <w:numFmt w:val="lowerLetter"/>
      <w:start w:val="2"/>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
      <w:numFmt w:val="bullet"/>
      <w:start w:val="1"/>
    </w:lvl>
  </w:abstractNum>
  <w:abstractNum w:abstractNumId="65">
    <w:nsid w:val="4AD084E9"/>
    <w:multiLevelType w:val="hybridMultilevel"/>
    <w:lvl w:ilvl="0">
      <w:lvlJc w:val="left"/>
      <w:lvlText w:val="%1:"/>
      <w:numFmt w:val="upperLetter"/>
      <w:start w:val="20"/>
    </w:lvl>
  </w:abstractNum>
  <w:abstractNum w:abstractNumId="66">
    <w:nsid w:val="1F48EAA1"/>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4" Type="http://schemas.openxmlformats.org/officeDocument/2006/relationships/hyperlink" Target="https://www.sec.gov/Archives/edgar/data/1612940/000110465924104340/tm2424909-1_f3.htm" TargetMode="External"/><Relationship Id="rId15" Type="http://schemas.openxmlformats.org/officeDocument/2006/relationships/hyperlink" Target="https://www.sec.gov/Archives/edgar/data/1612940/000110465923038374/tm2310691-1_f3.htm" TargetMode="External"/><Relationship Id="rId16" Type="http://schemas.openxmlformats.org/officeDocument/2006/relationships/hyperlink" Target="https://www.sec.gov/Archives/edgar/data/1612940/000110465922028777/tm227651-1_f3.htm" TargetMode="External"/><Relationship Id="rId17" Type="http://schemas.openxmlformats.org/officeDocument/2006/relationships/hyperlink" Target="https://www.sec.gov/Archives/edgar/data/1612940/000110465925023246/tm258820-1_f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2026-06-26T05:22:22Z</dcterms:created>
  <dcterms:modified xsi:type="dcterms:W3CDTF">2026-06-26T05:22:22Z</dcterms:modified>
</cp:coreProperties>
</file>