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ind w:left="286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May 12, 2026</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001-36622</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PROQR THERAPEUTICS N.V.</w:t>
      </w:r>
    </w:p>
    <w:p>
      <w:pPr>
        <w:spacing w:after="0" w:line="23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Zernikedreef 9</w:t>
      </w:r>
    </w:p>
    <w:p>
      <w:pPr>
        <w:spacing w:after="0" w:line="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2333 CK Leiden</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auto"/>
        </w:rPr>
        <w:t>The Netherlands</w:t>
      </w:r>
    </w:p>
    <w:p>
      <w:pPr>
        <w:ind w:left="3560"/>
        <w:spacing w:after="0" w:line="231" w:lineRule="auto"/>
        <w:rPr>
          <w:sz w:val="20"/>
          <w:szCs w:val="20"/>
          <w:color w:val="auto"/>
        </w:rPr>
      </w:pPr>
      <w:r>
        <w:rPr>
          <w:rFonts w:ascii="Times New Roman" w:cs="Times New Roman" w:eastAsia="Times New Roman" w:hAnsi="Times New Roman"/>
          <w:sz w:val="22"/>
          <w:szCs w:val="22"/>
          <w:b w:val="1"/>
          <w:bCs w:val="1"/>
          <w:color w:val="auto"/>
        </w:rPr>
        <w:t>Tel: +31 88 166 7000</w:t>
      </w:r>
    </w:p>
    <w:p>
      <w:pPr>
        <w:ind w:left="2120"/>
        <w:spacing w:after="0" w:line="230" w:lineRule="auto"/>
        <w:rPr>
          <w:sz w:val="20"/>
          <w:szCs w:val="20"/>
          <w:color w:val="auto"/>
        </w:rPr>
      </w:pPr>
      <w:r>
        <w:rPr>
          <w:rFonts w:ascii="Times New Roman" w:cs="Times New Roman" w:eastAsia="Times New Roman" w:hAnsi="Times New Roman"/>
          <w:sz w:val="22"/>
          <w:szCs w:val="22"/>
          <w:color w:val="auto"/>
        </w:rPr>
        <w:t>(Address, Including ZIP Code, and Telephone Number,</w:t>
      </w:r>
    </w:p>
    <w:p>
      <w:pPr>
        <w:spacing w:after="0" w:line="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2"/>
          <w:szCs w:val="22"/>
          <w:color w:val="auto"/>
        </w:rPr>
        <w:t>Including Area Code, of Registrant’s Principal Executive Offices)</w:t>
      </w:r>
    </w:p>
    <w:p>
      <w:pPr>
        <w:spacing w:after="0" w:line="209" w:lineRule="exact"/>
        <w:rPr>
          <w:sz w:val="24"/>
          <w:szCs w:val="24"/>
          <w:color w:val="auto"/>
        </w:rPr>
      </w:pPr>
    </w:p>
    <w:p>
      <w:pPr>
        <w:ind w:left="60" w:right="159"/>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151" w:lineRule="exact"/>
        <w:rPr>
          <w:sz w:val="24"/>
          <w:szCs w:val="24"/>
          <w:color w:val="auto"/>
        </w:rPr>
      </w:pPr>
    </w:p>
    <w:p>
      <w:pPr>
        <w:jc w:val="center"/>
        <w:spacing w:after="0" w:line="295" w:lineRule="exact"/>
        <w:rPr>
          <w:sz w:val="20"/>
          <w:szCs w:val="20"/>
          <w:color w:val="auto"/>
        </w:rPr>
      </w:pPr>
      <w:r>
        <w:rPr>
          <w:rFonts w:ascii="Times New Roman" w:cs="Times New Roman" w:eastAsia="Times New Roman" w:hAnsi="Times New Roman"/>
          <w:sz w:val="22"/>
          <w:szCs w:val="22"/>
          <w:color w:val="auto"/>
        </w:rPr>
        <w:t xml:space="preserve">Form 20-F </w:t>
      </w:r>
      <w:r>
        <w:rPr>
          <w:rFonts w:ascii="Arial Unicode MS" w:cs="Arial Unicode MS" w:eastAsia="Arial Unicode MS" w:hAnsi="Arial Unicode MS"/>
          <w:sz w:val="22"/>
          <w:szCs w:val="22"/>
          <w:color w:val="auto"/>
        </w:rPr>
        <w:t>⌧</w:t>
      </w:r>
      <w:r>
        <w:rPr>
          <w:rFonts w:ascii="Times New Roman" w:cs="Times New Roman" w:eastAsia="Times New Roman" w:hAnsi="Times New Roman"/>
          <w:sz w:val="22"/>
          <w:szCs w:val="22"/>
          <w:color w:val="auto"/>
        </w:rPr>
        <w:t xml:space="preserve"> Form 40-F </w:t>
      </w:r>
      <w:r>
        <w:rPr>
          <w:rFonts w:ascii="Arial Unicode MS" w:cs="Arial Unicode MS" w:eastAsia="Arial Unicode MS" w:hAnsi="Arial Unicode MS"/>
          <w:sz w:val="22"/>
          <w:szCs w:val="22"/>
          <w:color w:val="auto"/>
        </w:rPr>
        <w:t>☐</w:t>
      </w:r>
    </w:p>
    <w:p>
      <w:pPr>
        <w:spacing w:after="0" w:line="239" w:lineRule="exact"/>
        <w:rPr>
          <w:sz w:val="24"/>
          <w:szCs w:val="24"/>
          <w:color w:val="auto"/>
        </w:rPr>
      </w:pPr>
    </w:p>
    <w:p>
      <w:pPr>
        <w:ind w:left="60" w:right="1019"/>
        <w:spacing w:after="0" w:line="286" w:lineRule="exact"/>
        <w:rPr>
          <w:sz w:val="20"/>
          <w:szCs w:val="20"/>
          <w:color w:val="auto"/>
        </w:rPr>
      </w:pPr>
      <w:r>
        <w:rPr>
          <w:rFonts w:ascii="Times New Roman" w:cs="Times New Roman" w:eastAsia="Times New Roman" w:hAnsi="Times New Roman"/>
          <w:sz w:val="22"/>
          <w:szCs w:val="22"/>
          <w:color w:val="auto"/>
        </w:rPr>
        <w:t xml:space="preserve">Indicate by check mark if the registrant is submitting the Form 6-K in paper as permitted by Regulation S-T Rule 101(b)(1): </w:t>
      </w:r>
      <w:r>
        <w:rPr>
          <w:rFonts w:ascii="Arial Unicode MS" w:cs="Arial Unicode MS" w:eastAsia="Arial Unicode MS" w:hAnsi="Arial Unicode MS"/>
          <w:sz w:val="22"/>
          <w:szCs w:val="22"/>
          <w:color w:val="auto"/>
        </w:rPr>
        <w:t>☐</w:t>
      </w:r>
    </w:p>
    <w:p>
      <w:pPr>
        <w:spacing w:after="0" w:line="172" w:lineRule="exact"/>
        <w:rPr>
          <w:sz w:val="24"/>
          <w:szCs w:val="24"/>
          <w:color w:val="auto"/>
        </w:rPr>
      </w:pPr>
    </w:p>
    <w:p>
      <w:pPr>
        <w:ind w:left="60" w:right="1019"/>
        <w:spacing w:after="0" w:line="286" w:lineRule="exact"/>
        <w:rPr>
          <w:sz w:val="20"/>
          <w:szCs w:val="20"/>
          <w:color w:val="auto"/>
        </w:rPr>
      </w:pPr>
      <w:r>
        <w:rPr>
          <w:rFonts w:ascii="Times New Roman" w:cs="Times New Roman" w:eastAsia="Times New Roman" w:hAnsi="Times New Roman"/>
          <w:sz w:val="22"/>
          <w:szCs w:val="22"/>
          <w:color w:val="auto"/>
        </w:rPr>
        <w:t xml:space="preserve">Indicate by check mark if the registrant is submitting the Form 6-K in paper as permitted by Regulation S-T Rule 101(b)(7): </w:t>
      </w:r>
      <w:r>
        <w:rPr>
          <w:rFonts w:ascii="Arial Unicode MS" w:cs="Arial Unicode MS" w:eastAsia="Arial Unicode MS" w:hAnsi="Arial Unicode MS"/>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554990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177800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013" w:right="1440" w:bottom="1440" w:gutter="0" w:footer="0" w:header="0"/>
        </w:sectPr>
      </w:pPr>
    </w:p>
    <w:bookmarkStart w:id="1" w:name="page2"/>
    <w:bookmarkEnd w:id="1"/>
    <w:p>
      <w:pPr>
        <w:ind w:left="60" w:right="139" w:firstLine="648"/>
        <w:spacing w:after="0" w:line="238" w:lineRule="auto"/>
        <w:rPr>
          <w:sz w:val="20"/>
          <w:szCs w:val="20"/>
          <w:color w:val="auto"/>
        </w:rPr>
      </w:pPr>
      <w:r>
        <w:rPr>
          <w:rFonts w:ascii="Times New Roman" w:cs="Times New Roman" w:eastAsia="Times New Roman" w:hAnsi="Times New Roman"/>
          <w:sz w:val="22"/>
          <w:szCs w:val="22"/>
          <w:color w:val="auto"/>
        </w:rPr>
        <w:t>Furnished as Exhibit 99.1 to this Report on Form 6-K are the unaudited financial statements of ProQR Therapeutics N.V. (the “Company”) for the three-month period ended March 31, 2026, and furnished as Exhibit 99.2 to this Report on Form 6-K is a press release of ProQR Therapeutics N.V. dated May 12, 2026, announcing the Company’s results for the three-month period ended March 31, 2026.</w:t>
      </w:r>
    </w:p>
    <w:p>
      <w:pPr>
        <w:spacing w:after="0" w:line="204" w:lineRule="exact"/>
        <w:rPr>
          <w:sz w:val="20"/>
          <w:szCs w:val="20"/>
          <w:color w:val="auto"/>
        </w:rPr>
      </w:pPr>
    </w:p>
    <w:p>
      <w:pPr>
        <w:jc w:val="both"/>
        <w:ind w:left="60" w:right="99" w:firstLine="648"/>
        <w:spacing w:after="0" w:line="239" w:lineRule="auto"/>
        <w:rPr>
          <w:sz w:val="20"/>
          <w:szCs w:val="20"/>
          <w:color w:val="auto"/>
        </w:rPr>
      </w:pPr>
      <w:r>
        <w:rPr>
          <w:rFonts w:ascii="Times New Roman" w:cs="Times New Roman" w:eastAsia="Times New Roman" w:hAnsi="Times New Roman"/>
          <w:sz w:val="22"/>
          <w:szCs w:val="22"/>
          <w:color w:val="auto"/>
        </w:rPr>
        <w:t>On May 12, 2026, the Company issued a press release titled, “ProQR Announces First Quarter 2026 Operating and Financial Results,” announcing the Company’s results for the three-month period ended March 31, 2026, and providing a business update. A copy of this press release is attached hereto as Exhibit 99.2 and is incorporated herein by reference.</w:t>
      </w:r>
    </w:p>
    <w:p>
      <w:pPr>
        <w:spacing w:after="0" w:line="207" w:lineRule="exact"/>
        <w:rPr>
          <w:sz w:val="20"/>
          <w:szCs w:val="20"/>
          <w:color w:val="auto"/>
        </w:rPr>
      </w:pPr>
    </w:p>
    <w:p>
      <w:pPr>
        <w:ind w:left="60" w:right="119" w:firstLine="648"/>
        <w:spacing w:after="0" w:line="244" w:lineRule="auto"/>
        <w:rPr>
          <w:sz w:val="20"/>
          <w:szCs w:val="20"/>
          <w:color w:val="auto"/>
        </w:rPr>
      </w:pPr>
      <w:r>
        <w:rPr>
          <w:rFonts w:ascii="Times New Roman" w:cs="Times New Roman" w:eastAsia="Times New Roman" w:hAnsi="Times New Roman"/>
          <w:sz w:val="22"/>
          <w:szCs w:val="22"/>
          <w:color w:val="auto"/>
        </w:rPr>
        <w:t>ProQR hereby incorporates by reference the information contained herein into ProQR’s registration statements on Form F-3 (File No. 333-282419, File No. 333-270943, File No. 333-263166 and File No. 333-285767).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1507490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22"/>
          <w:szCs w:val="22"/>
          <w:b w:val="1"/>
          <w:bCs w:val="1"/>
          <w:color w:val="auto"/>
        </w:rPr>
        <w:t>INDEX TO EXHIBITS</w:t>
      </w:r>
    </w:p>
    <w:p>
      <w:pPr>
        <w:spacing w:after="0" w:line="247" w:lineRule="exact"/>
        <w:rPr>
          <w:sz w:val="20"/>
          <w:szCs w:val="20"/>
          <w:color w:val="auto"/>
        </w:rPr>
      </w:pPr>
    </w:p>
    <w:p>
      <w:pPr>
        <w:ind w:left="60"/>
        <w:spacing w:after="0"/>
        <w:tabs>
          <w:tab w:leader="none" w:pos="4400" w:val="left"/>
        </w:tabs>
        <w:rPr>
          <w:sz w:val="20"/>
          <w:szCs w:val="20"/>
          <w:color w:val="auto"/>
        </w:rPr>
      </w:pPr>
      <w:r>
        <w:rPr>
          <w:rFonts w:ascii="Times New Roman" w:cs="Times New Roman" w:eastAsia="Times New Roman" w:hAnsi="Times New Roman"/>
          <w:sz w:val="22"/>
          <w:szCs w:val="22"/>
          <w:b w:val="1"/>
          <w:bCs w:val="1"/>
          <w:u w:val="single" w:color="auto"/>
          <w:color w:val="auto"/>
        </w:rPr>
        <w:t>Number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13335</wp:posOffset>
            </wp:positionV>
            <wp:extent cx="5066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66030" cy="8890"/>
                    </a:xfrm>
                    <a:prstGeom prst="rect">
                      <a:avLst/>
                    </a:prstGeom>
                    <a:noFill/>
                  </pic:spPr>
                </pic:pic>
              </a:graphicData>
            </a:graphic>
          </wp:anchor>
        </w:drawing>
      </w:r>
    </w:p>
    <w:p>
      <w:pPr>
        <w:spacing w:after="0" w:line="231" w:lineRule="exact"/>
        <w:rPr>
          <w:sz w:val="20"/>
          <w:szCs w:val="20"/>
          <w:color w:val="auto"/>
        </w:rPr>
      </w:pPr>
    </w:p>
    <w:p>
      <w:pPr>
        <w:ind w:left="980" w:right="519" w:hanging="917"/>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EE"/>
        </w:rPr>
        <w:t>Unaudited financial statements of ProQR Therapeutics N.V. for the three-month period ended March 31, 2026.</w:t>
      </w:r>
    </w:p>
    <w:p>
      <w:pPr>
        <w:spacing w:after="0" w:line="185" w:lineRule="exact"/>
        <w:rPr>
          <w:sz w:val="20"/>
          <w:szCs w:val="20"/>
          <w:color w:val="auto"/>
        </w:rPr>
      </w:pPr>
    </w:p>
    <w:p>
      <w:pPr>
        <w:ind w:left="980" w:right="99" w:hanging="917"/>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99.2</w:t>
      </w:r>
      <w:r>
        <w:rPr>
          <w:sz w:val="20"/>
          <w:szCs w:val="20"/>
          <w:color w:val="auto"/>
        </w:rPr>
        <w:tab/>
      </w:r>
      <w:r>
        <w:rPr>
          <w:rFonts w:ascii="Times New Roman" w:cs="Times New Roman" w:eastAsia="Times New Roman" w:hAnsi="Times New Roman"/>
          <w:sz w:val="22"/>
          <w:szCs w:val="22"/>
          <w:u w:val="single" w:color="auto"/>
          <w:color w:val="0000EE"/>
        </w:rPr>
        <w:t>Press Release of ProQR Therapeutics N.V. dated May 12, 2026, announcing the Company’s results for the three-month 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769620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b w:val="1"/>
          <w:bCs w:val="1"/>
          <w:color w:val="auto"/>
        </w:rPr>
        <w:t>PROQR THERAPEUTICS N.V.</w:t>
      </w:r>
    </w:p>
    <w:p>
      <w:pPr>
        <w:spacing w:after="0" w:line="200" w:lineRule="exact"/>
        <w:rPr>
          <w:sz w:val="20"/>
          <w:szCs w:val="20"/>
          <w:color w:val="auto"/>
        </w:rPr>
      </w:pPr>
    </w:p>
    <w:p>
      <w:pPr>
        <w:spacing w:after="0" w:line="280" w:lineRule="exact"/>
        <w:rPr>
          <w:sz w:val="20"/>
          <w:szCs w:val="20"/>
          <w:color w:val="auto"/>
        </w:rPr>
      </w:pPr>
    </w:p>
    <w:p>
      <w:pPr>
        <w:ind w:left="60"/>
        <w:spacing w:after="0"/>
        <w:tabs>
          <w:tab w:leader="none" w:pos="4540" w:val="left"/>
        </w:tabs>
        <w:rPr>
          <w:sz w:val="20"/>
          <w:szCs w:val="20"/>
          <w:color w:val="auto"/>
        </w:rPr>
      </w:pPr>
      <w:r>
        <w:rPr>
          <w:rFonts w:ascii="Times New Roman" w:cs="Times New Roman" w:eastAsia="Times New Roman" w:hAnsi="Times New Roman"/>
          <w:sz w:val="22"/>
          <w:szCs w:val="22"/>
          <w:color w:val="auto"/>
        </w:rPr>
        <w:t>Date: May 12, 2026</w:t>
      </w:r>
      <w:r>
        <w:rPr>
          <w:sz w:val="20"/>
          <w:szCs w:val="20"/>
          <w:color w:val="auto"/>
        </w:rPr>
        <w:tab/>
      </w:r>
      <w:r>
        <w:rPr>
          <w:rFonts w:ascii="Times New Roman" w:cs="Times New Roman" w:eastAsia="Times New Roman" w:hAnsi="Times New Roman"/>
          <w:sz w:val="21"/>
          <w:szCs w:val="21"/>
          <w:color w:val="auto"/>
        </w:rPr>
        <w:t>By:/s/ Dennis Hom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10795</wp:posOffset>
            </wp:positionV>
            <wp:extent cx="258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Dennis Hom</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612775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b w:val="1"/>
                <w:bCs w:val="1"/>
                <w:color w:val="auto"/>
              </w:rPr>
              <w:t>Exhibit 99.1</w:t>
            </w:r>
          </w:p>
        </w:tc>
      </w:tr>
      <w:tr>
        <w:trPr>
          <w:trHeight w:val="391"/>
        </w:trPr>
        <w:tc>
          <w:tcPr>
            <w:tcW w:w="8360" w:type="dxa"/>
            <w:vAlign w:val="bottom"/>
            <w:gridSpan w:val="9"/>
          </w:tcPr>
          <w:p>
            <w:pPr>
              <w:ind w:left="20"/>
              <w:spacing w:after="0"/>
              <w:rPr>
                <w:sz w:val="20"/>
                <w:szCs w:val="20"/>
                <w:color w:val="auto"/>
              </w:rPr>
            </w:pPr>
            <w:r>
              <w:rPr>
                <w:rFonts w:ascii="Times New Roman" w:cs="Times New Roman" w:eastAsia="Times New Roman" w:hAnsi="Times New Roman"/>
                <w:sz w:val="21"/>
                <w:szCs w:val="21"/>
                <w:b w:val="1"/>
                <w:bCs w:val="1"/>
                <w:color w:val="auto"/>
              </w:rPr>
              <w:t>PROQR THERAPEUTICS N.V.</w:t>
            </w:r>
          </w:p>
        </w:tc>
        <w:tc>
          <w:tcPr>
            <w:tcW w:w="560" w:type="dxa"/>
            <w:vAlign w:val="bottom"/>
          </w:tcPr>
          <w:p>
            <w:pPr>
              <w:spacing w:after="0"/>
              <w:rPr>
                <w:sz w:val="24"/>
                <w:szCs w:val="24"/>
                <w:color w:val="auto"/>
              </w:rPr>
            </w:pPr>
          </w:p>
        </w:tc>
      </w:tr>
      <w:tr>
        <w:trPr>
          <w:trHeight w:val="272"/>
        </w:trPr>
        <w:tc>
          <w:tcPr>
            <w:tcW w:w="8360" w:type="dxa"/>
            <w:vAlign w:val="bottom"/>
            <w:gridSpan w:val="9"/>
          </w:tcPr>
          <w:p>
            <w:pPr>
              <w:ind w:left="20"/>
              <w:spacing w:after="0"/>
              <w:rPr>
                <w:sz w:val="20"/>
                <w:szCs w:val="20"/>
                <w:color w:val="auto"/>
              </w:rPr>
            </w:pPr>
            <w:r>
              <w:rPr>
                <w:rFonts w:ascii="Times New Roman" w:cs="Times New Roman" w:eastAsia="Times New Roman" w:hAnsi="Times New Roman"/>
                <w:sz w:val="21"/>
                <w:szCs w:val="21"/>
                <w:b w:val="1"/>
                <w:bCs w:val="1"/>
                <w:color w:val="auto"/>
              </w:rPr>
              <w:t>Index to Unaudited Condensed Consolidated Financial Statements</w:t>
            </w:r>
          </w:p>
        </w:tc>
        <w:tc>
          <w:tcPr>
            <w:tcW w:w="560" w:type="dxa"/>
            <w:vAlign w:val="bottom"/>
          </w:tcPr>
          <w:p>
            <w:pPr>
              <w:spacing w:after="0"/>
              <w:rPr>
                <w:sz w:val="23"/>
                <w:szCs w:val="23"/>
                <w:color w:val="auto"/>
              </w:rPr>
            </w:pPr>
          </w:p>
        </w:tc>
      </w:tr>
      <w:tr>
        <w:trPr>
          <w:trHeight w:val="30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62626"/>
              </w:rPr>
              <w:t>PAGE</w:t>
            </w:r>
          </w:p>
        </w:tc>
      </w:tr>
      <w:tr>
        <w:trPr>
          <w:trHeight w:val="176"/>
        </w:trPr>
        <w:tc>
          <w:tcPr>
            <w:tcW w:w="20" w:type="dxa"/>
            <w:vAlign w:val="bottom"/>
          </w:tcPr>
          <w:p>
            <w:pPr>
              <w:spacing w:after="0"/>
              <w:rPr>
                <w:sz w:val="15"/>
                <w:szCs w:val="15"/>
                <w:color w:val="auto"/>
              </w:rPr>
            </w:pPr>
          </w:p>
        </w:tc>
        <w:tc>
          <w:tcPr>
            <w:tcW w:w="8340" w:type="dxa"/>
            <w:vAlign w:val="bottom"/>
            <w:gridSpan w:val="8"/>
          </w:tcPr>
          <w:p>
            <w:pPr>
              <w:spacing w:after="0" w:line="176" w:lineRule="exact"/>
              <w:rPr>
                <w:sz w:val="20"/>
                <w:szCs w:val="20"/>
                <w:color w:val="auto"/>
              </w:rPr>
            </w:pPr>
            <w:r>
              <w:rPr>
                <w:rFonts w:ascii="Times New Roman" w:cs="Times New Roman" w:eastAsia="Times New Roman" w:hAnsi="Times New Roman"/>
                <w:sz w:val="16"/>
                <w:szCs w:val="16"/>
                <w:color w:val="0000EE"/>
              </w:rPr>
              <w:t>Unaudited Condensed Consolidated Statement of Financial Position at March 31, 2026 and December 31, 2025</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262626"/>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2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Unaudited Condensed Consolidated Statement of Profit or Loss and Other Comprehensive Income for the Three Month Period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210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6"/>
                <w:szCs w:val="16"/>
                <w:color w:val="0000EE"/>
              </w:rPr>
              <w:t>ended March 31, 2026 and 2025</w:t>
            </w:r>
          </w:p>
        </w:tc>
        <w:tc>
          <w:tcPr>
            <w:tcW w:w="6240" w:type="dxa"/>
            <w:vAlign w:val="bottom"/>
            <w:gridSpan w:val="6"/>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262626"/>
              </w:rPr>
              <w:t>2</w:t>
            </w:r>
          </w:p>
        </w:tc>
      </w:tr>
      <w:tr>
        <w:trPr>
          <w:trHeight w:val="290"/>
        </w:trPr>
        <w:tc>
          <w:tcPr>
            <w:tcW w:w="20" w:type="dxa"/>
            <w:vAlign w:val="bottom"/>
          </w:tcPr>
          <w:p>
            <w:pPr>
              <w:spacing w:after="0"/>
              <w:rPr>
                <w:sz w:val="24"/>
                <w:szCs w:val="24"/>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Unaudited Condensed Consolidated Statement of Changes in Equity for the Three Month Period Ended March 31, 2026 and</w:t>
            </w:r>
          </w:p>
        </w:tc>
        <w:tc>
          <w:tcPr>
            <w:tcW w:w="5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3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color w:val="0000EE"/>
                <w:w w:val="93"/>
              </w:rPr>
              <w:t>2025</w:t>
            </w:r>
          </w:p>
        </w:tc>
        <w:tc>
          <w:tcPr>
            <w:tcW w:w="1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262626"/>
              </w:rPr>
              <w:t>3</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Unaudited Condensed Consolidated Statement of Cash Flows for the Three Month Period ended March 31, 2026 and 2025</w:t>
            </w:r>
          </w:p>
        </w:tc>
        <w:tc>
          <w:tcPr>
            <w:tcW w:w="3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62626"/>
              </w:rPr>
              <w:t>4</w:t>
            </w:r>
          </w:p>
        </w:tc>
      </w:tr>
      <w:tr>
        <w:trPr>
          <w:trHeight w:val="290"/>
        </w:trPr>
        <w:tc>
          <w:tcPr>
            <w:tcW w:w="20" w:type="dxa"/>
            <w:vAlign w:val="bottom"/>
          </w:tcPr>
          <w:p>
            <w:pPr>
              <w:spacing w:after="0"/>
              <w:rPr>
                <w:sz w:val="24"/>
                <w:szCs w:val="24"/>
                <w:color w:val="auto"/>
              </w:rPr>
            </w:pPr>
          </w:p>
        </w:tc>
        <w:tc>
          <w:tcPr>
            <w:tcW w:w="834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262626"/>
              </w:rPr>
              <w:t>5</w:t>
            </w:r>
          </w:p>
        </w:tc>
      </w:tr>
      <w:tr>
        <w:trPr>
          <w:trHeight w:val="595"/>
        </w:trPr>
        <w:tc>
          <w:tcPr>
            <w:tcW w:w="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2200" w:type="dxa"/>
            <w:vAlign w:val="bottom"/>
            <w:tcBorders>
              <w:top w:val="single" w:sz="8" w:color="0000EE"/>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PROQR THERAPEUTICS N.V.</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49530</wp:posOffset>
            </wp:positionV>
            <wp:extent cx="56146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5760" w:type="dxa"/>
            <w:vAlign w:val="bottom"/>
            <w:tcBorders>
              <w:top w:val="single" w:sz="8" w:color="464646"/>
            </w:tcBorders>
            <w:gridSpan w:val="2"/>
          </w:tcPr>
          <w:p>
            <w:pPr>
              <w:spacing w:after="0"/>
              <w:rPr>
                <w:sz w:val="20"/>
                <w:szCs w:val="20"/>
                <w:color w:val="auto"/>
              </w:rPr>
            </w:pPr>
            <w:r>
              <w:rPr>
                <w:rFonts w:ascii="Times New Roman" w:cs="Times New Roman" w:eastAsia="Times New Roman" w:hAnsi="Times New Roman"/>
                <w:sz w:val="14"/>
                <w:szCs w:val="14"/>
                <w:b w:val="1"/>
                <w:bCs w:val="1"/>
                <w:color w:val="262626"/>
              </w:rPr>
              <w:t>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Property, plant and equipment</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Investments in financial assets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100"/>
              <w:spacing w:after="0"/>
              <w:rPr>
                <w:sz w:val="20"/>
                <w:szCs w:val="20"/>
                <w:color w:val="auto"/>
              </w:rPr>
            </w:pPr>
            <w:r>
              <w:rPr>
                <w:rFonts w:ascii="Times New Roman" w:cs="Times New Roman" w:eastAsia="Times New Roman" w:hAnsi="Times New Roman"/>
                <w:sz w:val="14"/>
                <w:szCs w:val="14"/>
                <w:b w:val="1"/>
                <w:bCs w:val="1"/>
                <w:color w:val="262626"/>
              </w:rPr>
              <w:t>Non-current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Cash and cash equivalents</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Trade and other receivables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Other taxes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100"/>
              <w:spacing w:after="0"/>
              <w:rPr>
                <w:sz w:val="20"/>
                <w:szCs w:val="20"/>
                <w:color w:val="auto"/>
              </w:rPr>
            </w:pPr>
            <w:r>
              <w:rPr>
                <w:rFonts w:ascii="Times New Roman" w:cs="Times New Roman" w:eastAsia="Times New Roman" w:hAnsi="Times New Roman"/>
                <w:sz w:val="14"/>
                <w:szCs w:val="14"/>
                <w:b w:val="1"/>
                <w:bCs w:val="1"/>
                <w:color w:val="262626"/>
              </w:rPr>
              <w:t>Current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Total assets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464646"/>
            </w:tcBorders>
          </w:tcPr>
          <w:p>
            <w:pPr>
              <w:spacing w:after="0"/>
              <w:rPr>
                <w:sz w:val="15"/>
                <w:szCs w:val="15"/>
                <w:color w:val="auto"/>
              </w:rPr>
            </w:pPr>
          </w:p>
        </w:tc>
        <w:tc>
          <w:tcPr>
            <w:tcW w:w="5740" w:type="dxa"/>
            <w:vAlign w:val="bottom"/>
            <w:tcBorders>
              <w:bottom w:val="single" w:sz="8" w:color="464646"/>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464646"/>
            </w:tcBorders>
            <w:gridSpan w:val="2"/>
          </w:tcPr>
          <w:p>
            <w:pPr>
              <w:spacing w:after="0"/>
              <w:rPr>
                <w:sz w:val="20"/>
                <w:szCs w:val="20"/>
                <w:color w:val="auto"/>
              </w:rPr>
            </w:pPr>
            <w:r>
              <w:rPr>
                <w:rFonts w:ascii="Times New Roman" w:cs="Times New Roman" w:eastAsia="Times New Roman" w:hAnsi="Times New Roman"/>
                <w:sz w:val="14"/>
                <w:szCs w:val="14"/>
                <w:b w:val="1"/>
                <w:bCs w:val="1"/>
                <w:color w:val="262626"/>
              </w:rPr>
              <w:t>Equity and liabilities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62626"/>
              </w:rPr>
              <w:t>Equity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top w:val="single" w:sz="8" w:color="464646"/>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Equity attributable to owners of the Company</w:t>
            </w: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62626"/>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Total equity</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464646"/>
            </w:tcBorders>
          </w:tcPr>
          <w:p>
            <w:pPr>
              <w:spacing w:after="0"/>
              <w:rPr>
                <w:sz w:val="15"/>
                <w:szCs w:val="15"/>
                <w:color w:val="auto"/>
              </w:rPr>
            </w:pPr>
          </w:p>
        </w:tc>
        <w:tc>
          <w:tcPr>
            <w:tcW w:w="5740" w:type="dxa"/>
            <w:vAlign w:val="bottom"/>
            <w:tcBorders>
              <w:bottom w:val="single" w:sz="8" w:color="464646"/>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7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262626"/>
              </w:rPr>
              <w:t>Liabilities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Borrowings</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Lease liabilities</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w w:val="99"/>
              </w:rPr>
              <w:t>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Deferred income</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100"/>
              <w:spacing w:after="0"/>
              <w:rPr>
                <w:sz w:val="20"/>
                <w:szCs w:val="20"/>
                <w:color w:val="auto"/>
              </w:rPr>
            </w:pPr>
            <w:r>
              <w:rPr>
                <w:rFonts w:ascii="Times New Roman" w:cs="Times New Roman" w:eastAsia="Times New Roman" w:hAnsi="Times New Roman"/>
                <w:sz w:val="14"/>
                <w:szCs w:val="14"/>
                <w:b w:val="1"/>
                <w:bCs w:val="1"/>
                <w:color w:val="262626"/>
              </w:rPr>
              <w:t>Non-current liabilities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spacing w:after="0"/>
              <w:rPr>
                <w:sz w:val="15"/>
                <w:szCs w:val="15"/>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Borrowings</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Lease liabilities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40" w:type="dxa"/>
            <w:vAlign w:val="bottom"/>
            <w:tcBorders>
              <w:bottom w:val="single" w:sz="8" w:color="464646"/>
            </w:tcBorders>
          </w:tcPr>
          <w:p>
            <w:pPr>
              <w:ind w:left="200"/>
              <w:spacing w:after="0"/>
              <w:rPr>
                <w:sz w:val="20"/>
                <w:szCs w:val="20"/>
                <w:color w:val="auto"/>
              </w:rPr>
            </w:pPr>
            <w:r>
              <w:rPr>
                <w:rFonts w:ascii="Times New Roman" w:cs="Times New Roman" w:eastAsia="Times New Roman" w:hAnsi="Times New Roman"/>
                <w:sz w:val="14"/>
                <w:szCs w:val="14"/>
                <w:color w:val="262626"/>
              </w:rPr>
              <w:t>Derivative financial instruments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262626"/>
              </w:rPr>
              <w:t>Trade payables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w w:val="99"/>
              </w:rPr>
              <w:t>11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740" w:type="dxa"/>
            <w:vAlign w:val="bottom"/>
          </w:tcPr>
          <w:p>
            <w:pPr>
              <w:ind w:left="200"/>
              <w:spacing w:after="0" w:line="160" w:lineRule="exact"/>
              <w:rPr>
                <w:sz w:val="20"/>
                <w:szCs w:val="20"/>
                <w:color w:val="auto"/>
              </w:rPr>
            </w:pPr>
            <w:r>
              <w:rPr>
                <w:rFonts w:ascii="Times New Roman" w:cs="Times New Roman" w:eastAsia="Times New Roman" w:hAnsi="Times New Roman"/>
                <w:sz w:val="14"/>
                <w:szCs w:val="14"/>
                <w:color w:val="262626"/>
              </w:rPr>
              <w:t>Deferred income</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4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rPr>
              <w:t>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4"/>
                <w:szCs w:val="14"/>
                <w:color w:val="262626"/>
              </w:rPr>
              <w:t>Other current liabilities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-3728085</wp:posOffset>
            </wp:positionV>
            <wp:extent cx="36518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4"/>
          <w:szCs w:val="14"/>
          <w:b w:val="1"/>
          <w:bCs w:val="1"/>
          <w:color w:val="262626"/>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-100965</wp:posOffset>
            </wp:positionV>
            <wp:extent cx="36518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262626"/>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3651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-94615</wp:posOffset>
            </wp:positionV>
            <wp:extent cx="3651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262626"/>
        </w:rPr>
        <w:t>Total equity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33655</wp:posOffset>
            </wp:positionV>
            <wp:extent cx="56146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4670" cy="171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-94615</wp:posOffset>
            </wp:positionV>
            <wp:extent cx="3651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262626"/>
              </w:rPr>
              <w:t>March 31,</w:t>
            </w:r>
          </w:p>
        </w:tc>
        <w:tc>
          <w:tcPr>
            <w:tcW w:w="13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262626"/>
              </w:rPr>
              <w:t>December 31,</w:t>
            </w:r>
          </w:p>
        </w:tc>
      </w:tr>
      <w:tr>
        <w:trPr>
          <w:trHeight w:val="186"/>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2026</w:t>
            </w:r>
          </w:p>
        </w:tc>
        <w:tc>
          <w:tcPr>
            <w:tcW w:w="240" w:type="dxa"/>
            <w:vAlign w:val="bottom"/>
          </w:tcPr>
          <w:p>
            <w:pPr>
              <w:spacing w:after="0"/>
              <w:rPr>
                <w:sz w:val="16"/>
                <w:szCs w:val="16"/>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2025</w:t>
            </w:r>
          </w:p>
        </w:tc>
        <w:tc>
          <w:tcPr>
            <w:tcW w:w="20" w:type="dxa"/>
            <w:vAlign w:val="bottom"/>
            <w:tcBorders>
              <w:bottom w:val="single" w:sz="8" w:color="464646"/>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240" w:type="dxa"/>
            <w:vAlign w:val="bottom"/>
          </w:tcPr>
          <w:p>
            <w:pPr>
              <w:spacing w:after="0"/>
              <w:rPr>
                <w:sz w:val="15"/>
                <w:szCs w:val="15"/>
                <w:color w:val="auto"/>
              </w:rPr>
            </w:pPr>
          </w:p>
        </w:tc>
        <w:tc>
          <w:tcPr>
            <w:tcW w:w="1300" w:type="dxa"/>
            <w:vAlign w:val="bottom"/>
            <w:tcBorders>
              <w:bottom w:val="single" w:sz="8" w:color="464646"/>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20" w:type="dxa"/>
            <w:vAlign w:val="bottom"/>
          </w:tcPr>
          <w:p>
            <w:pPr>
              <w:spacing w:after="0"/>
              <w:rPr>
                <w:sz w:val="15"/>
                <w:szCs w:val="15"/>
                <w:color w:val="auto"/>
              </w:rPr>
            </w:pPr>
          </w:p>
        </w:tc>
      </w:tr>
      <w:tr>
        <w:trPr>
          <w:trHeight w:val="183"/>
        </w:trPr>
        <w:tc>
          <w:tcPr>
            <w:tcW w:w="15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262626"/>
              </w:rPr>
              <w:t>​</w:t>
            </w:r>
          </w:p>
        </w:tc>
        <w:tc>
          <w:tcPr>
            <w:tcW w:w="128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r>
      <w:tr>
        <w:trPr>
          <w:trHeight w:val="183"/>
        </w:trPr>
        <w:tc>
          <w:tcPr>
            <w:tcW w:w="13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12,052</w:t>
            </w:r>
          </w:p>
        </w:tc>
        <w:tc>
          <w:tcPr>
            <w:tcW w:w="240" w:type="dxa"/>
            <w:vAlign w:val="bottom"/>
          </w:tcPr>
          <w:p>
            <w:pPr>
              <w:spacing w:after="0"/>
              <w:rPr>
                <w:sz w:val="15"/>
                <w:szCs w:val="15"/>
                <w:color w:val="auto"/>
              </w:rPr>
            </w:pPr>
          </w:p>
        </w:tc>
        <w:tc>
          <w:tcPr>
            <w:tcW w:w="128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12,630</w:t>
            </w:r>
          </w:p>
        </w:tc>
        <w:tc>
          <w:tcPr>
            <w:tcW w:w="20" w:type="dxa"/>
            <w:vAlign w:val="bottom"/>
            <w:tcBorders>
              <w:top w:val="single" w:sz="8" w:color="464646"/>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262626"/>
              </w:rPr>
              <w:t>—</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262626"/>
              </w:rPr>
              <w:t>—</w:t>
            </w:r>
          </w:p>
        </w:tc>
      </w:tr>
      <w:tr>
        <w:trPr>
          <w:trHeight w:val="183"/>
        </w:trPr>
        <w:tc>
          <w:tcPr>
            <w:tcW w:w="13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12,052</w:t>
            </w:r>
          </w:p>
        </w:tc>
        <w:tc>
          <w:tcPr>
            <w:tcW w:w="240" w:type="dxa"/>
            <w:vAlign w:val="bottom"/>
          </w:tcPr>
          <w:p>
            <w:pPr>
              <w:spacing w:after="0"/>
              <w:rPr>
                <w:sz w:val="15"/>
                <w:szCs w:val="15"/>
                <w:color w:val="auto"/>
              </w:rPr>
            </w:pPr>
          </w:p>
        </w:tc>
        <w:tc>
          <w:tcPr>
            <w:tcW w:w="128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12,630</w:t>
            </w:r>
          </w:p>
        </w:tc>
        <w:tc>
          <w:tcPr>
            <w:tcW w:w="20" w:type="dxa"/>
            <w:vAlign w:val="bottom"/>
            <w:tcBorders>
              <w:top w:val="single" w:sz="8" w:color="464646"/>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81,088</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92,413</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4,404</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6,800</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1,490</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913</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86,982</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100,126</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99,034</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112,756</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262626"/>
              </w:rPr>
              <w:t>​</w:t>
            </w:r>
          </w:p>
        </w:tc>
        <w:tc>
          <w:tcPr>
            <w:tcW w:w="128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r>
      <w:tr>
        <w:trPr>
          <w:trHeight w:val="183"/>
        </w:trPr>
        <w:tc>
          <w:tcPr>
            <w:tcW w:w="1320" w:type="dxa"/>
            <w:vAlign w:val="bottom"/>
            <w:tcBorders>
              <w:top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top w:val="single" w:sz="8" w:color="464646"/>
            </w:tcBorders>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r>
      <w:tr>
        <w:trPr>
          <w:trHeight w:val="183"/>
        </w:trPr>
        <w:tc>
          <w:tcPr>
            <w:tcW w:w="13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37,598</w:t>
            </w:r>
          </w:p>
        </w:tc>
        <w:tc>
          <w:tcPr>
            <w:tcW w:w="240" w:type="dxa"/>
            <w:vAlign w:val="bottom"/>
          </w:tcPr>
          <w:p>
            <w:pPr>
              <w:spacing w:after="0"/>
              <w:rPr>
                <w:sz w:val="15"/>
                <w:szCs w:val="15"/>
                <w:color w:val="auto"/>
              </w:rPr>
            </w:pPr>
          </w:p>
        </w:tc>
        <w:tc>
          <w:tcPr>
            <w:tcW w:w="128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49,374</w:t>
            </w:r>
          </w:p>
        </w:tc>
        <w:tc>
          <w:tcPr>
            <w:tcW w:w="20" w:type="dxa"/>
            <w:vAlign w:val="bottom"/>
            <w:tcBorders>
              <w:top w:val="single" w:sz="8" w:color="464646"/>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37,598</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49,374</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5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262626"/>
              </w:rPr>
              <w:t>​</w:t>
            </w:r>
          </w:p>
        </w:tc>
        <w:tc>
          <w:tcPr>
            <w:tcW w:w="128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r>
      <w:tr>
        <w:trPr>
          <w:trHeight w:val="183"/>
        </w:trPr>
        <w:tc>
          <w:tcPr>
            <w:tcW w:w="13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40" w:type="dxa"/>
            <w:vAlign w:val="bottom"/>
          </w:tcPr>
          <w:p>
            <w:pPr>
              <w:spacing w:after="0"/>
              <w:rPr>
                <w:sz w:val="15"/>
                <w:szCs w:val="15"/>
                <w:color w:val="auto"/>
              </w:rPr>
            </w:pPr>
          </w:p>
        </w:tc>
        <w:tc>
          <w:tcPr>
            <w:tcW w:w="1300" w:type="dxa"/>
            <w:vAlign w:val="bottom"/>
            <w:tcBorders>
              <w:top w:val="single" w:sz="8" w:color="464646"/>
              <w:bottom w:val="single" w:sz="8" w:color="464646"/>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9,071</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9,547</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17,307</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21,394</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26,378</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30,941</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4,945</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4,872</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1,717</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1,545</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179</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234</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189</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298</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19,607</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17,552</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8,421</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7,940</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35,058</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32,441</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61,436</w:t>
            </w:r>
          </w:p>
        </w:tc>
        <w:tc>
          <w:tcPr>
            <w:tcW w:w="240" w:type="dxa"/>
            <w:vAlign w:val="bottom"/>
          </w:tcPr>
          <w:p>
            <w:pPr>
              <w:spacing w:after="0"/>
              <w:rPr>
                <w:sz w:val="15"/>
                <w:szCs w:val="15"/>
                <w:color w:val="auto"/>
              </w:rPr>
            </w:pPr>
          </w:p>
        </w:tc>
        <w:tc>
          <w:tcPr>
            <w:tcW w:w="12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63,382</w:t>
            </w: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320" w:type="dxa"/>
            <w:vAlign w:val="bottom"/>
            <w:tcBorders>
              <w:bottom w:val="single" w:sz="8" w:color="464646"/>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r>
      <w:tr>
        <w:trPr>
          <w:trHeight w:val="200"/>
        </w:trPr>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99,034</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112,756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90" w:lineRule="exact"/>
        <w:rPr>
          <w:sz w:val="20"/>
          <w:szCs w:val="20"/>
          <w:color w:val="auto"/>
        </w:rPr>
      </w:pPr>
    </w:p>
    <w:p>
      <w:pPr>
        <w:sectPr>
          <w:pgSz w:w="11900" w:h="16838" w:orient="portrait"/>
          <w:cols w:equalWidth="0" w:num="2">
            <w:col w:w="6020" w:space="60"/>
            <w:col w:w="2939"/>
          </w:cols>
          <w:pgMar w:left="1440" w:top="512"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529590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2</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PROQR THERAPEUTICS N.V.</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Profit or Loss and Other Comprehensive Income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43180</wp:posOffset>
            </wp:positionV>
            <wp:extent cx="55289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28945" cy="82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586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62626"/>
              </w:rPr>
              <w:t>13</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Revenue</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62626"/>
              </w:rPr>
              <w:t>14</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Other income</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62626"/>
              </w:rPr>
              <w:t>15</w:t>
            </w:r>
          </w:p>
        </w:tc>
        <w:tc>
          <w:tcPr>
            <w:tcW w:w="0" w:type="dxa"/>
            <w:vAlign w:val="bottom"/>
          </w:tcPr>
          <w:p>
            <w:pPr>
              <w:spacing w:after="0"/>
              <w:rPr>
                <w:sz w:val="1"/>
                <w:szCs w:val="1"/>
                <w:color w:val="auto"/>
              </w:rPr>
            </w:pPr>
          </w:p>
        </w:tc>
      </w:tr>
      <w:tr>
        <w:trPr>
          <w:trHeight w:val="160"/>
        </w:trPr>
        <w:tc>
          <w:tcPr>
            <w:tcW w:w="5860" w:type="dxa"/>
            <w:vAlign w:val="bottom"/>
          </w:tcPr>
          <w:p>
            <w:pPr>
              <w:spacing w:after="0" w:line="160" w:lineRule="exact"/>
              <w:rPr>
                <w:sz w:val="20"/>
                <w:szCs w:val="20"/>
                <w:color w:val="auto"/>
              </w:rPr>
            </w:pPr>
            <w:r>
              <w:rPr>
                <w:rFonts w:ascii="Times New Roman" w:cs="Times New Roman" w:eastAsia="Times New Roman" w:hAnsi="Times New Roman"/>
                <w:sz w:val="14"/>
                <w:szCs w:val="14"/>
                <w:color w:val="262626"/>
              </w:rPr>
              <w:t>Research and development costs</w:t>
            </w: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860" w:type="dxa"/>
            <w:vAlign w:val="bottom"/>
            <w:tcBorders>
              <w:bottom w:val="single" w:sz="8" w:color="464646"/>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62626"/>
              </w:rPr>
              <w:t>16</w:t>
            </w:r>
          </w:p>
        </w:tc>
        <w:tc>
          <w:tcPr>
            <w:tcW w:w="0" w:type="dxa"/>
            <w:vAlign w:val="bottom"/>
          </w:tcPr>
          <w:p>
            <w:pPr>
              <w:spacing w:after="0"/>
              <w:rPr>
                <w:sz w:val="1"/>
                <w:szCs w:val="1"/>
                <w:color w:val="auto"/>
              </w:rPr>
            </w:pPr>
          </w:p>
        </w:tc>
      </w:tr>
      <w:tr>
        <w:trPr>
          <w:trHeight w:val="182"/>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color w:val="262626"/>
              </w:rPr>
              <w:t>General and administrative costs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Total operating costs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Operating result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color w:val="262626"/>
              </w:rPr>
              <w:t>Financial income and expense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color w:val="262626"/>
              </w:rPr>
              <w:t>Results related to financial liabilities measured at fair value through profit or loss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Result before corporate income taxes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62626"/>
              </w:rPr>
              <w:t>18</w:t>
            </w:r>
          </w:p>
        </w:tc>
        <w:tc>
          <w:tcPr>
            <w:tcW w:w="0" w:type="dxa"/>
            <w:vAlign w:val="bottom"/>
          </w:tcPr>
          <w:p>
            <w:pPr>
              <w:spacing w:after="0"/>
              <w:rPr>
                <w:sz w:val="1"/>
                <w:szCs w:val="1"/>
                <w:color w:val="auto"/>
              </w:rPr>
            </w:pPr>
          </w:p>
        </w:tc>
      </w:tr>
      <w:tr>
        <w:trPr>
          <w:trHeight w:val="182"/>
        </w:trPr>
        <w:tc>
          <w:tcPr>
            <w:tcW w:w="586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color w:val="262626"/>
              </w:rPr>
              <w:t>Income taxes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-1936750</wp:posOffset>
            </wp:positionV>
            <wp:extent cx="372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-2065020</wp:posOffset>
            </wp:positionV>
            <wp:extent cx="372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62626"/>
        </w:rPr>
        <w:t>Result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-94615</wp:posOffset>
            </wp:positionV>
            <wp:extent cx="372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262626"/>
        </w:rPr>
        <w:t>Other comprehensive income (foreign exchange differences on foreign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32385</wp:posOffset>
            </wp:positionV>
            <wp:extent cx="372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-95885</wp:posOffset>
            </wp:positionV>
            <wp:extent cx="372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62626"/>
        </w:rPr>
        <w:t>Total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33655</wp:posOffset>
            </wp:positionV>
            <wp:extent cx="372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-94615</wp:posOffset>
            </wp:positionV>
            <wp:extent cx="372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62626"/>
        </w:rPr>
        <w:t>Result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-94615</wp:posOffset>
            </wp:positionV>
            <wp:extent cx="372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262626"/>
        </w:rPr>
        <w:t>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32385</wp:posOffset>
            </wp:positionV>
            <wp:extent cx="37204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20465" cy="889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-95885</wp:posOffset>
            </wp:positionV>
            <wp:extent cx="372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262626"/>
        </w:rPr>
        <w:t>Total comprehensive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-94615</wp:posOffset>
            </wp:positionV>
            <wp:extent cx="37204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262626"/>
        </w:rPr>
        <w:t>Three month period</w:t>
      </w:r>
    </w:p>
    <w:p>
      <w:pPr>
        <w:spacing w:after="0" w:line="42"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262626"/>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ind w:left="860"/>
        <w:spacing w:after="0"/>
        <w:tabs>
          <w:tab w:leader="none" w:pos="2180" w:val="left"/>
        </w:tabs>
        <w:rPr>
          <w:sz w:val="20"/>
          <w:szCs w:val="20"/>
          <w:color w:val="auto"/>
        </w:rPr>
      </w:pPr>
      <w:r>
        <w:rPr>
          <w:rFonts w:ascii="Times New Roman" w:cs="Times New Roman" w:eastAsia="Times New Roman" w:hAnsi="Times New Roman"/>
          <w:sz w:val="14"/>
          <w:szCs w:val="14"/>
          <w:b w:val="1"/>
          <w:bCs w:val="1"/>
          <w:color w:val="262626"/>
        </w:rPr>
        <w:t>2026</w:t>
      </w:r>
      <w:r>
        <w:rPr>
          <w:sz w:val="20"/>
          <w:szCs w:val="20"/>
          <w:color w:val="auto"/>
        </w:rPr>
        <w:tab/>
      </w:r>
      <w:r>
        <w:rPr>
          <w:rFonts w:ascii="Times New Roman" w:cs="Times New Roman" w:eastAsia="Times New Roman" w:hAnsi="Times New Roman"/>
          <w:sz w:val="14"/>
          <w:szCs w:val="14"/>
          <w:b w:val="1"/>
          <w:bCs w:val="1"/>
          <w:color w:val="262626"/>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ind w:left="740"/>
        <w:spacing w:after="0"/>
        <w:tabs>
          <w:tab w:leader="none" w:pos="2080" w:val="left"/>
        </w:tabs>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r>
        <w:rPr>
          <w:sz w:val="20"/>
          <w:szCs w:val="20"/>
          <w:color w:val="auto"/>
        </w:rPr>
        <w:tab/>
      </w: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ind w:left="820"/>
        <w:spacing w:after="0"/>
        <w:tabs>
          <w:tab w:leader="none" w:pos="2140" w:val="left"/>
        </w:tabs>
        <w:rPr>
          <w:sz w:val="20"/>
          <w:szCs w:val="20"/>
          <w:color w:val="auto"/>
        </w:rPr>
      </w:pPr>
      <w:r>
        <w:rPr>
          <w:rFonts w:ascii="Times New Roman" w:cs="Times New Roman" w:eastAsia="Times New Roman" w:hAnsi="Times New Roman"/>
          <w:sz w:val="14"/>
          <w:szCs w:val="14"/>
          <w:b w:val="1"/>
          <w:bCs w:val="1"/>
          <w:color w:val="262626"/>
        </w:rPr>
        <w:t>2,033</w:t>
      </w:r>
      <w:r>
        <w:rPr>
          <w:sz w:val="20"/>
          <w:szCs w:val="20"/>
          <w:color w:val="auto"/>
        </w:rPr>
        <w:tab/>
      </w:r>
      <w:r>
        <w:rPr>
          <w:rFonts w:ascii="Times New Roman" w:cs="Times New Roman" w:eastAsia="Times New Roman" w:hAnsi="Times New Roman"/>
          <w:sz w:val="14"/>
          <w:szCs w:val="14"/>
          <w:b w:val="1"/>
          <w:bCs w:val="1"/>
          <w:color w:val="262626"/>
        </w:rPr>
        <w:t>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6198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262626"/>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6198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6"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color w:val="262626"/>
        </w:rPr>
        <w:t>(11,830)</w:t>
      </w:r>
      <w:r>
        <w:rPr>
          <w:sz w:val="20"/>
          <w:szCs w:val="20"/>
          <w:color w:val="auto"/>
        </w:rPr>
        <w:tab/>
      </w:r>
      <w:r>
        <w:rPr>
          <w:rFonts w:ascii="Times New Roman" w:cs="Times New Roman" w:eastAsia="Times New Roman" w:hAnsi="Times New Roman"/>
          <w:sz w:val="14"/>
          <w:szCs w:val="14"/>
          <w:color w:val="262626"/>
        </w:rPr>
        <w:t>(12,323)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ind w:left="760"/>
        <w:spacing w:after="0"/>
        <w:tabs>
          <w:tab w:leader="none" w:pos="2100" w:val="left"/>
        </w:tabs>
        <w:rPr>
          <w:sz w:val="20"/>
          <w:szCs w:val="20"/>
          <w:color w:val="auto"/>
        </w:rPr>
      </w:pPr>
      <w:r>
        <w:rPr>
          <w:rFonts w:ascii="Times New Roman" w:cs="Times New Roman" w:eastAsia="Times New Roman" w:hAnsi="Times New Roman"/>
          <w:sz w:val="14"/>
          <w:szCs w:val="14"/>
          <w:color w:val="262626"/>
        </w:rPr>
        <w:t>(3,852)</w:t>
      </w:r>
      <w:r>
        <w:rPr>
          <w:sz w:val="20"/>
          <w:szCs w:val="20"/>
          <w:color w:val="auto"/>
        </w:rPr>
        <w:tab/>
      </w:r>
      <w:r>
        <w:rPr>
          <w:rFonts w:ascii="Times New Roman" w:cs="Times New Roman" w:eastAsia="Times New Roman" w:hAnsi="Times New Roman"/>
          <w:sz w:val="14"/>
          <w:szCs w:val="14"/>
          <w:color w:val="262626"/>
        </w:rPr>
        <w:t>(3,234)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262626"/>
        </w:rPr>
        <w:t>(15,682)</w:t>
      </w:r>
      <w:r>
        <w:rPr>
          <w:sz w:val="20"/>
          <w:szCs w:val="20"/>
          <w:color w:val="auto"/>
        </w:rPr>
        <w:tab/>
      </w:r>
      <w:r>
        <w:rPr>
          <w:rFonts w:ascii="Times New Roman" w:cs="Times New Roman" w:eastAsia="Times New Roman" w:hAnsi="Times New Roman"/>
          <w:sz w:val="14"/>
          <w:szCs w:val="14"/>
          <w:b w:val="1"/>
          <w:bCs w:val="1"/>
          <w:color w:val="262626"/>
        </w:rPr>
        <w:t>(15,557)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4" w:lineRule="exact"/>
        <w:rPr>
          <w:sz w:val="20"/>
          <w:szCs w:val="20"/>
          <w:color w:val="auto"/>
        </w:rPr>
      </w:pPr>
    </w:p>
    <w:p>
      <w:pPr>
        <w:jc w:val="both"/>
        <w:ind w:left="1180"/>
        <w:spacing w:after="0"/>
        <w:tabs>
          <w:tab w:leader="none" w:pos="2520" w:val="left"/>
        </w:tabs>
        <w:rPr>
          <w:sz w:val="20"/>
          <w:szCs w:val="20"/>
          <w:color w:val="auto"/>
        </w:rPr>
      </w:pPr>
      <w:r>
        <w:rPr>
          <w:rFonts w:ascii="Times New Roman" w:cs="Times New Roman" w:eastAsia="Times New Roman" w:hAnsi="Times New Roman"/>
          <w:sz w:val="14"/>
          <w:szCs w:val="14"/>
          <w:color w:val="262626"/>
        </w:rPr>
        <w:t>​</w:t>
      </w:r>
      <w:r>
        <w:rPr>
          <w:sz w:val="20"/>
          <w:szCs w:val="20"/>
          <w:color w:val="auto"/>
        </w:rPr>
        <w:tab/>
      </w: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262626"/>
        </w:rPr>
        <w:t>(13,649)</w:t>
      </w:r>
      <w:r>
        <w:rPr>
          <w:sz w:val="20"/>
          <w:szCs w:val="20"/>
          <w:color w:val="auto"/>
        </w:rPr>
        <w:tab/>
      </w:r>
      <w:r>
        <w:rPr>
          <w:rFonts w:ascii="Times New Roman" w:cs="Times New Roman" w:eastAsia="Times New Roman" w:hAnsi="Times New Roman"/>
          <w:sz w:val="14"/>
          <w:szCs w:val="14"/>
          <w:b w:val="1"/>
          <w:bCs w:val="1"/>
          <w:color w:val="262626"/>
        </w:rPr>
        <w:t>(10,816)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4" w:lineRule="exact"/>
        <w:rPr>
          <w:sz w:val="20"/>
          <w:szCs w:val="20"/>
          <w:color w:val="auto"/>
        </w:rPr>
      </w:pPr>
    </w:p>
    <w:p>
      <w:pPr>
        <w:ind w:left="920"/>
        <w:spacing w:after="0"/>
        <w:tabs>
          <w:tab w:leader="none" w:pos="2260" w:val="left"/>
        </w:tabs>
        <w:rPr>
          <w:sz w:val="20"/>
          <w:szCs w:val="20"/>
          <w:color w:val="auto"/>
        </w:rPr>
      </w:pPr>
      <w:r>
        <w:rPr>
          <w:rFonts w:ascii="Times New Roman" w:cs="Times New Roman" w:eastAsia="Times New Roman" w:hAnsi="Times New Roman"/>
          <w:sz w:val="14"/>
          <w:szCs w:val="14"/>
          <w:color w:val="262626"/>
        </w:rPr>
        <w:t>212</w:t>
      </w:r>
      <w:r>
        <w:rPr>
          <w:sz w:val="20"/>
          <w:szCs w:val="20"/>
          <w:color w:val="auto"/>
        </w:rPr>
        <w:tab/>
      </w:r>
      <w:r>
        <w:rPr>
          <w:rFonts w:ascii="Times New Roman" w:cs="Times New Roman" w:eastAsia="Times New Roman" w:hAnsi="Times New Roman"/>
          <w:sz w:val="14"/>
          <w:szCs w:val="14"/>
          <w:color w:val="262626"/>
        </w:rPr>
        <w:t>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ind w:left="2280" w:hanging="1281"/>
        <w:spacing w:after="0"/>
        <w:tabs>
          <w:tab w:leader="none" w:pos="2280" w:val="left"/>
        </w:tabs>
        <w:numPr>
          <w:ilvl w:val="0"/>
          <w:numId w:val="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282</w:t>
      </w:r>
    </w:p>
    <w:p>
      <w:pPr>
        <w:spacing w:after="0" w:line="41" w:lineRule="exact"/>
        <w:rPr>
          <w:rFonts w:ascii="Times New Roman" w:cs="Times New Roman" w:eastAsia="Times New Roman" w:hAnsi="Times New Roman"/>
          <w:sz w:val="14"/>
          <w:szCs w:val="14"/>
          <w:color w:val="262626"/>
        </w:rPr>
      </w:pPr>
    </w:p>
    <w:p>
      <w:pPr>
        <w:ind w:left="2540" w:hanging="1352"/>
        <w:spacing w:after="0"/>
        <w:tabs>
          <w:tab w:leader="none" w:pos="2540" w:val="left"/>
        </w:tabs>
        <w:numPr>
          <w:ilvl w:val="1"/>
          <w:numId w:val="2"/>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-121285</wp:posOffset>
            </wp:positionV>
            <wp:extent cx="16198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262626"/>
        </w:rPr>
        <w:t>(13,383)</w:t>
      </w:r>
      <w:r>
        <w:rPr>
          <w:sz w:val="20"/>
          <w:szCs w:val="20"/>
          <w:color w:val="auto"/>
        </w:rPr>
        <w:tab/>
      </w:r>
      <w:r>
        <w:rPr>
          <w:rFonts w:ascii="Times New Roman" w:cs="Times New Roman" w:eastAsia="Times New Roman" w:hAnsi="Times New Roman"/>
          <w:sz w:val="14"/>
          <w:szCs w:val="14"/>
          <w:b w:val="1"/>
          <w:bCs w:val="1"/>
          <w:color w:val="262626"/>
        </w:rPr>
        <w:t>(10,079)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4" w:lineRule="exact"/>
        <w:rPr>
          <w:sz w:val="20"/>
          <w:szCs w:val="20"/>
          <w:color w:val="auto"/>
        </w:rPr>
      </w:pPr>
    </w:p>
    <w:p>
      <w:pPr>
        <w:ind w:left="1000"/>
        <w:spacing w:after="0"/>
        <w:tabs>
          <w:tab w:leader="none" w:pos="2320" w:val="left"/>
        </w:tabs>
        <w:rPr>
          <w:sz w:val="20"/>
          <w:szCs w:val="20"/>
          <w:color w:val="auto"/>
        </w:rPr>
      </w:pPr>
      <w:r>
        <w:rPr>
          <w:rFonts w:ascii="Times New Roman" w:cs="Times New Roman" w:eastAsia="Times New Roman" w:hAnsi="Times New Roman"/>
          <w:sz w:val="14"/>
          <w:szCs w:val="14"/>
          <w:color w:val="262626"/>
        </w:rPr>
        <w:t>—</w:t>
      </w:r>
      <w:r>
        <w:rPr>
          <w:sz w:val="20"/>
          <w:szCs w:val="20"/>
          <w:color w:val="auto"/>
        </w:rPr>
        <w:tab/>
      </w: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 w:lineRule="exact"/>
        <w:rPr>
          <w:sz w:val="20"/>
          <w:szCs w:val="20"/>
          <w:color w:val="auto"/>
        </w:rPr>
      </w:pPr>
    </w:p>
    <w:p>
      <w:pPr>
        <w:jc w:val="both"/>
        <w:ind w:left="1180"/>
        <w:spacing w:after="0"/>
        <w:tabs>
          <w:tab w:leader="none" w:pos="2520" w:val="left"/>
        </w:tabs>
        <w:rPr>
          <w:sz w:val="20"/>
          <w:szCs w:val="20"/>
          <w:color w:val="auto"/>
        </w:rPr>
      </w:pPr>
      <w:r>
        <w:rPr>
          <w:rFonts w:ascii="Times New Roman" w:cs="Times New Roman" w:eastAsia="Times New Roman" w:hAnsi="Times New Roman"/>
          <w:sz w:val="14"/>
          <w:szCs w:val="14"/>
          <w:color w:val="262626"/>
        </w:rPr>
        <w:t>​</w:t>
      </w:r>
      <w:r>
        <w:rPr>
          <w:sz w:val="20"/>
          <w:szCs w:val="20"/>
          <w:color w:val="auto"/>
        </w:rPr>
        <w:tab/>
      </w: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262626"/>
        </w:rPr>
        <w:t>(13,383)</w:t>
      </w:r>
      <w:r>
        <w:rPr>
          <w:sz w:val="20"/>
          <w:szCs w:val="20"/>
          <w:color w:val="auto"/>
        </w:rPr>
        <w:tab/>
      </w:r>
      <w:r>
        <w:rPr>
          <w:rFonts w:ascii="Times New Roman" w:cs="Times New Roman" w:eastAsia="Times New Roman" w:hAnsi="Times New Roman"/>
          <w:sz w:val="14"/>
          <w:szCs w:val="14"/>
          <w:b w:val="1"/>
          <w:bCs w:val="1"/>
          <w:color w:val="262626"/>
        </w:rPr>
        <w:t>(10,079)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4" w:lineRule="exact"/>
        <w:rPr>
          <w:sz w:val="20"/>
          <w:szCs w:val="20"/>
          <w:color w:val="auto"/>
        </w:rPr>
      </w:pPr>
    </w:p>
    <w:p>
      <w:pPr>
        <w:ind w:left="2220" w:hanging="1293"/>
        <w:spacing w:after="0"/>
        <w:tabs>
          <w:tab w:leader="none" w:pos="2220" w:val="left"/>
        </w:tabs>
        <w:numPr>
          <w:ilvl w:val="0"/>
          <w:numId w:val="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(371)</w:t>
      </w:r>
    </w:p>
    <w:p>
      <w:pPr>
        <w:spacing w:after="0" w:line="41" w:lineRule="exact"/>
        <w:rPr>
          <w:rFonts w:ascii="Times New Roman" w:cs="Times New Roman" w:eastAsia="Times New Roman" w:hAnsi="Times New Roman"/>
          <w:sz w:val="14"/>
          <w:szCs w:val="14"/>
          <w:color w:val="262626"/>
        </w:rPr>
      </w:pPr>
    </w:p>
    <w:p>
      <w:pPr>
        <w:ind w:left="2540" w:hanging="1352"/>
        <w:spacing w:after="0"/>
        <w:tabs>
          <w:tab w:leader="none" w:pos="2540" w:val="left"/>
        </w:tabs>
        <w:numPr>
          <w:ilvl w:val="1"/>
          <w:numId w:val="3"/>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198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-121285</wp:posOffset>
            </wp:positionV>
            <wp:extent cx="16198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 w:lineRule="exact"/>
        <w:rPr>
          <w:sz w:val="20"/>
          <w:szCs w:val="20"/>
          <w:color w:val="auto"/>
        </w:rPr>
      </w:pPr>
    </w:p>
    <w:p>
      <w:pPr>
        <w:ind w:left="700"/>
        <w:spacing w:after="0"/>
        <w:tabs>
          <w:tab w:leader="none" w:pos="2020" w:val="left"/>
        </w:tabs>
        <w:rPr>
          <w:sz w:val="20"/>
          <w:szCs w:val="20"/>
          <w:color w:val="auto"/>
        </w:rPr>
      </w:pPr>
      <w:r>
        <w:rPr>
          <w:rFonts w:ascii="Times New Roman" w:cs="Times New Roman" w:eastAsia="Times New Roman" w:hAnsi="Times New Roman"/>
          <w:sz w:val="14"/>
          <w:szCs w:val="14"/>
          <w:b w:val="1"/>
          <w:bCs w:val="1"/>
          <w:color w:val="262626"/>
        </w:rPr>
        <w:t>(13,204)</w:t>
      </w:r>
      <w:r>
        <w:rPr>
          <w:sz w:val="20"/>
          <w:szCs w:val="20"/>
          <w:color w:val="auto"/>
        </w:rPr>
        <w:tab/>
      </w:r>
      <w:r>
        <w:rPr>
          <w:rFonts w:ascii="Times New Roman" w:cs="Times New Roman" w:eastAsia="Times New Roman" w:hAnsi="Times New Roman"/>
          <w:sz w:val="14"/>
          <w:szCs w:val="14"/>
          <w:b w:val="1"/>
          <w:bCs w:val="1"/>
          <w:color w:val="262626"/>
        </w:rPr>
        <w:t>(10,450)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16198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198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7620</wp:posOffset>
            </wp:positionV>
            <wp:extent cx="16198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262626"/>
              </w:rPr>
              <w:t>​</w:t>
            </w:r>
          </w:p>
        </w:tc>
        <w:tc>
          <w:tcPr>
            <w:tcW w:w="126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262626"/>
              </w:rPr>
              <w:t>​</w:t>
            </w:r>
          </w:p>
        </w:tc>
      </w:tr>
      <w:tr>
        <w:trPr>
          <w:trHeight w:val="182"/>
        </w:trPr>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(13,383)</w:t>
            </w:r>
          </w:p>
        </w:tc>
        <w:tc>
          <w:tcPr>
            <w:tcW w:w="120" w:type="dxa"/>
            <w:vAlign w:val="bottom"/>
          </w:tcPr>
          <w:p>
            <w:pPr>
              <w:spacing w:after="0"/>
              <w:rPr>
                <w:sz w:val="15"/>
                <w:szCs w:val="15"/>
                <w:color w:val="auto"/>
              </w:rPr>
            </w:pPr>
          </w:p>
        </w:tc>
        <w:tc>
          <w:tcPr>
            <w:tcW w:w="12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(10,079)</w:t>
            </w:r>
          </w:p>
        </w:tc>
        <w:tc>
          <w:tcPr>
            <w:tcW w:w="40" w:type="dxa"/>
            <w:vAlign w:val="bottom"/>
          </w:tcPr>
          <w:p>
            <w:pPr>
              <w:spacing w:after="0"/>
              <w:rPr>
                <w:sz w:val="15"/>
                <w:szCs w:val="15"/>
                <w:color w:val="auto"/>
              </w:rPr>
            </w:pPr>
          </w:p>
        </w:tc>
      </w:tr>
      <w:tr>
        <w:trPr>
          <w:trHeight w:val="183"/>
        </w:trPr>
        <w:tc>
          <w:tcPr>
            <w:tcW w:w="1200" w:type="dxa"/>
            <w:vAlign w:val="bottom"/>
            <w:tcBorders>
              <w:bottom w:val="single" w:sz="8" w:color="464646"/>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464646"/>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169" w:lineRule="exact"/>
        <w:rPr>
          <w:sz w:val="20"/>
          <w:szCs w:val="20"/>
          <w:color w:val="auto"/>
        </w:rPr>
      </w:pPr>
    </w:p>
    <w:p>
      <w:pPr>
        <w:sectPr>
          <w:pgSz w:w="11900" w:h="16838" w:orient="portrait"/>
          <w:cols w:equalWidth="0" w:num="2">
            <w:col w:w="6200" w:space="120"/>
            <w:col w:w="2699"/>
          </w:cols>
          <w:pgMar w:left="1440" w:top="512" w:right="1440" w:bottom="1440" w:gutter="0" w:footer="0" w:header="0"/>
          <w:type w:val="continuous"/>
        </w:sectPr>
      </w:pPr>
    </w:p>
    <w:tbl>
      <w:tblPr>
        <w:tblLayout w:type="fixed"/>
        <w:tblInd w:w="1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40" w:type="dxa"/>
            <w:vAlign w:val="bottom"/>
            <w:tcBorders>
              <w:top w:val="single" w:sz="8" w:color="464646"/>
              <w:bottom w:val="single" w:sz="8" w:color="464646"/>
            </w:tcBorders>
          </w:tcPr>
          <w:p>
            <w:pPr>
              <w:spacing w:after="0"/>
              <w:rPr>
                <w:sz w:val="20"/>
                <w:szCs w:val="20"/>
                <w:color w:val="auto"/>
              </w:rPr>
            </w:pPr>
            <w:r>
              <w:rPr>
                <w:rFonts w:ascii="Times New Roman" w:cs="Times New Roman" w:eastAsia="Times New Roman" w:hAnsi="Times New Roman"/>
                <w:sz w:val="14"/>
                <w:szCs w:val="14"/>
                <w:color w:val="262626"/>
              </w:rPr>
              <w:t>Owners of the Company</w:t>
            </w:r>
          </w:p>
        </w:tc>
        <w:tc>
          <w:tcPr>
            <w:tcW w:w="300" w:type="dxa"/>
            <w:vAlign w:val="bottom"/>
          </w:tcPr>
          <w:p>
            <w:pPr>
              <w:spacing w:after="0"/>
              <w:rPr>
                <w:sz w:val="17"/>
                <w:szCs w:val="17"/>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(13,204)</w:t>
            </w:r>
          </w:p>
        </w:tc>
        <w:tc>
          <w:tcPr>
            <w:tcW w:w="120" w:type="dxa"/>
            <w:vAlign w:val="bottom"/>
          </w:tcPr>
          <w:p>
            <w:pPr>
              <w:spacing w:after="0"/>
              <w:rPr>
                <w:sz w:val="17"/>
                <w:szCs w:val="17"/>
                <w:color w:val="auto"/>
              </w:rPr>
            </w:pPr>
          </w:p>
        </w:tc>
        <w:tc>
          <w:tcPr>
            <w:tcW w:w="1240" w:type="dxa"/>
            <w:vAlign w:val="bottom"/>
            <w:tcBorders>
              <w:top w:val="single" w:sz="8" w:color="464646"/>
              <w:bottom w:val="single" w:sz="8" w:color="464646"/>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(10,450)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262626"/>
              </w:rPr>
              <w:t>​</w:t>
            </w:r>
          </w:p>
        </w:tc>
        <w:tc>
          <w:tcPr>
            <w:tcW w:w="122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464646"/>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0" w:type="dxa"/>
            <w:vAlign w:val="bottom"/>
            <w:shd w:val="clear" w:color="auto" w:fill="46464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46464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262626"/>
              </w:rPr>
              <w:t>Share information</w:t>
            </w:r>
          </w:p>
        </w:tc>
        <w:tc>
          <w:tcPr>
            <w:tcW w:w="300" w:type="dxa"/>
            <w:vAlign w:val="bottom"/>
            <w:vMerge w:val="continue"/>
          </w:tcPr>
          <w:p>
            <w:pPr>
              <w:spacing w:after="0"/>
              <w:rPr>
                <w:sz w:val="15"/>
                <w:szCs w:val="15"/>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4"/>
                <w:szCs w:val="14"/>
                <w:color w:val="262626"/>
              </w:rPr>
              <w:t>​</w:t>
            </w:r>
          </w:p>
        </w:tc>
        <w:tc>
          <w:tcPr>
            <w:tcW w:w="122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top w:val="single" w:sz="8" w:color="464646"/>
              <w:bottom w:val="single" w:sz="8" w:color="464646"/>
            </w:tcBorders>
          </w:tcPr>
          <w:p>
            <w:pPr>
              <w:spacing w:after="0" w:line="183" w:lineRule="exact"/>
              <w:rPr>
                <w:sz w:val="20"/>
                <w:szCs w:val="20"/>
                <w:color w:val="auto"/>
              </w:rPr>
            </w:pPr>
            <w:r>
              <w:rPr>
                <w:rFonts w:ascii="Times New Roman" w:cs="Times New Roman" w:eastAsia="Times New Roman" w:hAnsi="Times New Roman"/>
                <w:sz w:val="14"/>
                <w:szCs w:val="14"/>
                <w:color w:val="262626"/>
              </w:rPr>
              <w:t>Weighted average number of shares outstanding</w:t>
            </w:r>
            <w:r>
              <w:rPr>
                <w:rFonts w:ascii="Times New Roman" w:cs="Times New Roman" w:eastAsia="Times New Roman" w:hAnsi="Times New Roman"/>
                <w:sz w:val="21"/>
                <w:szCs w:val="21"/>
                <w:color w:val="262626"/>
                <w:vertAlign w:val="superscript"/>
              </w:rPr>
              <w:t>1</w:t>
            </w:r>
          </w:p>
        </w:tc>
        <w:tc>
          <w:tcPr>
            <w:tcW w:w="300" w:type="dxa"/>
            <w:vAlign w:val="bottom"/>
          </w:tcPr>
          <w:p>
            <w:pPr>
              <w:spacing w:after="0"/>
              <w:rPr>
                <w:sz w:val="15"/>
                <w:szCs w:val="15"/>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105,362,228</w:t>
            </w:r>
          </w:p>
        </w:tc>
        <w:tc>
          <w:tcPr>
            <w:tcW w:w="120" w:type="dxa"/>
            <w:vAlign w:val="bottom"/>
          </w:tcPr>
          <w:p>
            <w:pPr>
              <w:spacing w:after="0"/>
              <w:rPr>
                <w:sz w:val="15"/>
                <w:szCs w:val="15"/>
                <w:color w:val="auto"/>
              </w:rPr>
            </w:pPr>
          </w:p>
        </w:tc>
        <w:tc>
          <w:tcPr>
            <w:tcW w:w="12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105,296,833</w:t>
            </w:r>
          </w:p>
        </w:tc>
        <w:tc>
          <w:tcPr>
            <w:tcW w:w="20" w:type="dxa"/>
            <w:vAlign w:val="bottom"/>
            <w:tcBorders>
              <w:top w:val="single" w:sz="8" w:color="464646"/>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Borders>
              <w:bottom w:val="single" w:sz="8" w:color="464646"/>
            </w:tcBorders>
          </w:tcPr>
          <w:p>
            <w:pPr>
              <w:spacing w:after="0"/>
              <w:rPr>
                <w:sz w:val="15"/>
                <w:szCs w:val="15"/>
                <w:color w:val="auto"/>
              </w:rPr>
            </w:pPr>
          </w:p>
        </w:tc>
        <w:tc>
          <w:tcPr>
            <w:tcW w:w="300" w:type="dxa"/>
            <w:vAlign w:val="bottom"/>
            <w:vMerge w:val="restart"/>
          </w:tcPr>
          <w:p>
            <w:pPr>
              <w:spacing w:after="0"/>
              <w:rPr>
                <w:sz w:val="15"/>
                <w:szCs w:val="15"/>
                <w:color w:val="auto"/>
              </w:rPr>
            </w:pPr>
          </w:p>
        </w:tc>
        <w:tc>
          <w:tcPr>
            <w:tcW w:w="1200" w:type="dxa"/>
            <w:vAlign w:val="bottom"/>
            <w:tcBorders>
              <w:bottom w:val="single" w:sz="8" w:color="464646"/>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40" w:type="dxa"/>
            <w:vAlign w:val="bottom"/>
            <w:tcBorders>
              <w:bottom w:val="single" w:sz="8" w:color="464646"/>
            </w:tcBorders>
          </w:tcPr>
          <w:p>
            <w:pPr>
              <w:spacing w:after="0"/>
              <w:rPr>
                <w:sz w:val="20"/>
                <w:szCs w:val="20"/>
                <w:color w:val="auto"/>
              </w:rPr>
            </w:pPr>
            <w:r>
              <w:rPr>
                <w:rFonts w:ascii="Times New Roman" w:cs="Times New Roman" w:eastAsia="Times New Roman" w:hAnsi="Times New Roman"/>
                <w:sz w:val="14"/>
                <w:szCs w:val="14"/>
                <w:b w:val="1"/>
                <w:bCs w:val="1"/>
                <w:color w:val="262626"/>
              </w:rPr>
              <w:t>Earnings per share attributable to owners of the Company (Euro per share)</w:t>
            </w:r>
          </w:p>
        </w:tc>
        <w:tc>
          <w:tcPr>
            <w:tcW w:w="300" w:type="dxa"/>
            <w:vAlign w:val="bottom"/>
            <w:vMerge w:val="continue"/>
          </w:tcPr>
          <w:p>
            <w:pPr>
              <w:spacing w:after="0"/>
              <w:rPr>
                <w:sz w:val="15"/>
                <w:szCs w:val="15"/>
                <w:color w:val="auto"/>
              </w:rPr>
            </w:pPr>
          </w:p>
        </w:tc>
        <w:tc>
          <w:tcPr>
            <w:tcW w:w="1200" w:type="dxa"/>
            <w:vAlign w:val="bottom"/>
            <w:tcBorders>
              <w:bottom w:val="single" w:sz="8" w:color="464646"/>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464646"/>
            </w:tcBorders>
          </w:tcPr>
          <w:p>
            <w:pPr>
              <w:spacing w:after="0"/>
              <w:rPr>
                <w:sz w:val="15"/>
                <w:szCs w:val="15"/>
                <w:color w:val="auto"/>
              </w:rPr>
            </w:pPr>
          </w:p>
        </w:tc>
        <w:tc>
          <w:tcPr>
            <w:tcW w:w="20" w:type="dxa"/>
            <w:vAlign w:val="bottom"/>
            <w:tcBorders>
              <w:bottom w:val="single" w:sz="8" w:color="46464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Borders>
              <w:bottom w:val="single" w:sz="8" w:color="464646"/>
            </w:tcBorders>
          </w:tcPr>
          <w:p>
            <w:pPr>
              <w:spacing w:after="0" w:line="183" w:lineRule="exact"/>
              <w:rPr>
                <w:sz w:val="20"/>
                <w:szCs w:val="20"/>
                <w:color w:val="auto"/>
              </w:rPr>
            </w:pPr>
            <w:r>
              <w:rPr>
                <w:rFonts w:ascii="Times New Roman" w:cs="Times New Roman" w:eastAsia="Times New Roman" w:hAnsi="Times New Roman"/>
                <w:sz w:val="14"/>
                <w:szCs w:val="14"/>
                <w:color w:val="262626"/>
              </w:rPr>
              <w:t>Basic loss per share</w:t>
            </w:r>
            <w:r>
              <w:rPr>
                <w:rFonts w:ascii="Times New Roman" w:cs="Times New Roman" w:eastAsia="Times New Roman" w:hAnsi="Times New Roman"/>
                <w:sz w:val="21"/>
                <w:szCs w:val="21"/>
                <w:color w:val="262626"/>
                <w:vertAlign w:val="superscript"/>
              </w:rPr>
              <w:t>1</w:t>
            </w:r>
          </w:p>
        </w:tc>
        <w:tc>
          <w:tcPr>
            <w:tcW w:w="300" w:type="dxa"/>
            <w:vAlign w:val="bottom"/>
          </w:tcPr>
          <w:p>
            <w:pPr>
              <w:spacing w:after="0"/>
              <w:rPr>
                <w:sz w:val="15"/>
                <w:szCs w:val="15"/>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(0.13)</w:t>
            </w:r>
          </w:p>
        </w:tc>
        <w:tc>
          <w:tcPr>
            <w:tcW w:w="120" w:type="dxa"/>
            <w:vAlign w:val="bottom"/>
          </w:tcPr>
          <w:p>
            <w:pPr>
              <w:spacing w:after="0"/>
              <w:rPr>
                <w:sz w:val="15"/>
                <w:szCs w:val="15"/>
                <w:color w:val="auto"/>
              </w:rPr>
            </w:pPr>
          </w:p>
        </w:tc>
        <w:tc>
          <w:tcPr>
            <w:tcW w:w="1240" w:type="dxa"/>
            <w:vAlign w:val="bottom"/>
            <w:tcBorders>
              <w:bottom w:val="single" w:sz="8" w:color="464646"/>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22A49B"/>
            </w:tcBorders>
          </w:tcPr>
          <w:p>
            <w:pPr>
              <w:spacing w:after="0"/>
              <w:rPr>
                <w:sz w:val="16"/>
                <w:szCs w:val="16"/>
                <w:color w:val="auto"/>
              </w:rPr>
            </w:pPr>
          </w:p>
        </w:tc>
        <w:tc>
          <w:tcPr>
            <w:tcW w:w="5840" w:type="dxa"/>
            <w:vAlign w:val="bottom"/>
            <w:tcBorders>
              <w:bottom w:val="single" w:sz="8" w:color="22A49B"/>
            </w:tcBorders>
          </w:tcPr>
          <w:p>
            <w:pPr>
              <w:spacing w:after="0" w:line="183" w:lineRule="exact"/>
              <w:rPr>
                <w:sz w:val="20"/>
                <w:szCs w:val="20"/>
                <w:color w:val="auto"/>
              </w:rPr>
            </w:pPr>
            <w:r>
              <w:rPr>
                <w:rFonts w:ascii="Times New Roman" w:cs="Times New Roman" w:eastAsia="Times New Roman" w:hAnsi="Times New Roman"/>
                <w:sz w:val="14"/>
                <w:szCs w:val="14"/>
                <w:color w:val="262626"/>
              </w:rPr>
              <w:t>Diluted loss per share</w:t>
            </w:r>
            <w:r>
              <w:rPr>
                <w:rFonts w:ascii="Times New Roman" w:cs="Times New Roman" w:eastAsia="Times New Roman" w:hAnsi="Times New Roman"/>
                <w:sz w:val="21"/>
                <w:szCs w:val="21"/>
                <w:color w:val="262626"/>
                <w:vertAlign w:val="superscript"/>
              </w:rPr>
              <w:t>1</w:t>
            </w:r>
          </w:p>
        </w:tc>
        <w:tc>
          <w:tcPr>
            <w:tcW w:w="300" w:type="dxa"/>
            <w:vAlign w:val="bottom"/>
            <w:tcBorders>
              <w:bottom w:val="single" w:sz="8" w:color="22A49B"/>
            </w:tcBorders>
          </w:tcPr>
          <w:p>
            <w:pPr>
              <w:spacing w:after="0"/>
              <w:rPr>
                <w:sz w:val="16"/>
                <w:szCs w:val="16"/>
                <w:color w:val="auto"/>
              </w:rPr>
            </w:pPr>
          </w:p>
        </w:tc>
        <w:tc>
          <w:tcPr>
            <w:tcW w:w="120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color w:val="262626"/>
              </w:rPr>
              <w:t>(0.13)</w:t>
            </w:r>
          </w:p>
        </w:tc>
        <w:tc>
          <w:tcPr>
            <w:tcW w:w="120" w:type="dxa"/>
            <w:vAlign w:val="bottom"/>
            <w:tcBorders>
              <w:bottom w:val="single" w:sz="8" w:color="22A49B"/>
            </w:tcBorders>
          </w:tcPr>
          <w:p>
            <w:pPr>
              <w:spacing w:after="0"/>
              <w:rPr>
                <w:sz w:val="16"/>
                <w:szCs w:val="16"/>
                <w:color w:val="auto"/>
              </w:rPr>
            </w:pPr>
          </w:p>
        </w:tc>
        <w:tc>
          <w:tcPr>
            <w:tcW w:w="1240" w:type="dxa"/>
            <w:vAlign w:val="bottom"/>
            <w:tcBorders>
              <w:bottom w:val="single" w:sz="8" w:color="22A49B"/>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interim condensed consolidated financial statements.</w:t>
      </w:r>
    </w:p>
    <w:p>
      <w:pPr>
        <w:spacing w:after="0" w:line="96" w:lineRule="exact"/>
        <w:rPr>
          <w:sz w:val="20"/>
          <w:szCs w:val="20"/>
          <w:color w:val="auto"/>
        </w:rPr>
      </w:pPr>
    </w:p>
    <w:p>
      <w:pPr>
        <w:ind w:left="380" w:right="79" w:hanging="330"/>
        <w:spacing w:after="0" w:line="261" w:lineRule="auto"/>
        <w:tabs>
          <w:tab w:leader="none" w:pos="380" w:val="left"/>
        </w:tabs>
        <w:numPr>
          <w:ilvl w:val="0"/>
          <w:numId w:val="4"/>
        </w:numPr>
        <w:rPr>
          <w:rFonts w:ascii="Times New Roman" w:cs="Times New Roman" w:eastAsia="Times New Roman" w:hAnsi="Times New Roman"/>
          <w:sz w:val="14"/>
          <w:szCs w:val="14"/>
          <w:color w:val="262626"/>
        </w:rPr>
      </w:pPr>
      <w:r>
        <w:rPr>
          <w:rFonts w:ascii="Times New Roman" w:cs="Times New Roman" w:eastAsia="Times New Roman" w:hAnsi="Times New Roman"/>
          <w:sz w:val="14"/>
          <w:szCs w:val="14"/>
          <w:color w:val="262626"/>
        </w:rPr>
        <w:t>For these periods the potential exercise of share options is not included in the diluted earnings per share as the Company was loss-making. Due to the anti-dilutive nature of the outstanding options, basic and diluted earnings per share are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332105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00AAA1"/>
        </w:rPr>
        <w:t>PAGE 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PROQR THERAPEUTICS N.V.</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Changes in Equity</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00" w:type="dxa"/>
            <w:vAlign w:val="bottom"/>
            <w:tcBorders>
              <w:top w:val="single" w:sz="8" w:color="00AAA1"/>
              <w:bottom w:val="single" w:sz="8" w:color="464646"/>
            </w:tcBorders>
          </w:tcPr>
          <w:p>
            <w:pPr>
              <w:spacing w:after="0"/>
              <w:rPr>
                <w:sz w:val="14"/>
                <w:szCs w:val="14"/>
                <w:color w:val="auto"/>
              </w:rPr>
            </w:pPr>
          </w:p>
        </w:tc>
        <w:tc>
          <w:tcPr>
            <w:tcW w:w="180" w:type="dxa"/>
            <w:vAlign w:val="bottom"/>
            <w:tcBorders>
              <w:top w:val="single" w:sz="8" w:color="00AAA1"/>
            </w:tcBorders>
          </w:tcPr>
          <w:p>
            <w:pPr>
              <w:spacing w:after="0"/>
              <w:rPr>
                <w:sz w:val="14"/>
                <w:szCs w:val="14"/>
                <w:color w:val="auto"/>
              </w:rPr>
            </w:pPr>
          </w:p>
        </w:tc>
        <w:tc>
          <w:tcPr>
            <w:tcW w:w="780" w:type="dxa"/>
            <w:vAlign w:val="bottom"/>
            <w:tcBorders>
              <w:top w:val="single" w:sz="8" w:color="00AAA1"/>
              <w:bottom w:val="single" w:sz="8" w:color="464646"/>
            </w:tcBorders>
          </w:tcPr>
          <w:p>
            <w:pPr>
              <w:spacing w:after="0"/>
              <w:rPr>
                <w:sz w:val="14"/>
                <w:szCs w:val="14"/>
                <w:color w:val="auto"/>
              </w:rPr>
            </w:pPr>
          </w:p>
        </w:tc>
        <w:tc>
          <w:tcPr>
            <w:tcW w:w="180" w:type="dxa"/>
            <w:vAlign w:val="bottom"/>
            <w:tcBorders>
              <w:top w:val="single" w:sz="8" w:color="00AAA1"/>
              <w:bottom w:val="single" w:sz="8" w:color="464646"/>
            </w:tcBorders>
          </w:tcPr>
          <w:p>
            <w:pPr>
              <w:spacing w:after="0"/>
              <w:rPr>
                <w:sz w:val="14"/>
                <w:szCs w:val="14"/>
                <w:color w:val="auto"/>
              </w:rPr>
            </w:pPr>
          </w:p>
        </w:tc>
        <w:tc>
          <w:tcPr>
            <w:tcW w:w="780" w:type="dxa"/>
            <w:vAlign w:val="bottom"/>
            <w:tcBorders>
              <w:top w:val="single" w:sz="8" w:color="00AAA1"/>
              <w:bottom w:val="single" w:sz="8" w:color="464646"/>
            </w:tcBorders>
          </w:tcPr>
          <w:p>
            <w:pPr>
              <w:spacing w:after="0"/>
              <w:rPr>
                <w:sz w:val="14"/>
                <w:szCs w:val="14"/>
                <w:color w:val="auto"/>
              </w:rPr>
            </w:pPr>
          </w:p>
        </w:tc>
        <w:tc>
          <w:tcPr>
            <w:tcW w:w="3040" w:type="dxa"/>
            <w:vAlign w:val="bottom"/>
            <w:tcBorders>
              <w:top w:val="single" w:sz="8" w:color="00AAA1"/>
              <w:bottom w:val="single" w:sz="8" w:color="464646"/>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262626"/>
              </w:rPr>
              <w:t>Attributable to owners of the Company</w:t>
            </w:r>
          </w:p>
        </w:tc>
        <w:tc>
          <w:tcPr>
            <w:tcW w:w="120" w:type="dxa"/>
            <w:vAlign w:val="bottom"/>
            <w:tcBorders>
              <w:top w:val="single" w:sz="8" w:color="00AAA1"/>
              <w:bottom w:val="single" w:sz="8" w:color="464646"/>
            </w:tcBorders>
          </w:tcPr>
          <w:p>
            <w:pPr>
              <w:spacing w:after="0"/>
              <w:rPr>
                <w:sz w:val="14"/>
                <w:szCs w:val="14"/>
                <w:color w:val="auto"/>
              </w:rPr>
            </w:pPr>
          </w:p>
        </w:tc>
        <w:tc>
          <w:tcPr>
            <w:tcW w:w="860" w:type="dxa"/>
            <w:vAlign w:val="bottom"/>
            <w:tcBorders>
              <w:top w:val="single" w:sz="8" w:color="00AAA1"/>
              <w:bottom w:val="single" w:sz="8" w:color="464646"/>
            </w:tcBorders>
          </w:tcPr>
          <w:p>
            <w:pPr>
              <w:spacing w:after="0"/>
              <w:rPr>
                <w:sz w:val="14"/>
                <w:szCs w:val="14"/>
                <w:color w:val="auto"/>
              </w:rPr>
            </w:pPr>
          </w:p>
        </w:tc>
        <w:tc>
          <w:tcPr>
            <w:tcW w:w="180" w:type="dxa"/>
            <w:vAlign w:val="bottom"/>
            <w:tcBorders>
              <w:top w:val="single" w:sz="8" w:color="00AAA1"/>
              <w:bottom w:val="single" w:sz="8" w:color="464646"/>
            </w:tcBorders>
          </w:tcPr>
          <w:p>
            <w:pPr>
              <w:spacing w:after="0"/>
              <w:rPr>
                <w:sz w:val="14"/>
                <w:szCs w:val="14"/>
                <w:color w:val="auto"/>
              </w:rPr>
            </w:pPr>
          </w:p>
        </w:tc>
        <w:tc>
          <w:tcPr>
            <w:tcW w:w="780" w:type="dxa"/>
            <w:vAlign w:val="bottom"/>
            <w:tcBorders>
              <w:top w:val="single" w:sz="8" w:color="00AAA1"/>
              <w:bottom w:val="single" w:sz="8" w:color="464646"/>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262626"/>
              </w:rPr>
              <w:t xml:space="preserve">Number </w:t>
            </w:r>
            <w:r>
              <w:rPr>
                <w:rFonts w:ascii="Times New Roman" w:cs="Times New Roman" w:eastAsia="Times New Roman" w:hAnsi="Times New Roman"/>
                <w:sz w:val="14"/>
                <w:szCs w:val="14"/>
                <w:b w:val="1"/>
                <w:bCs w:val="1"/>
                <w:color w:val="FFFFFF"/>
              </w:rPr>
              <w:t>​</w:t>
            </w:r>
          </w:p>
        </w:tc>
        <w:tc>
          <w:tcPr>
            <w:tcW w:w="94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262626"/>
              </w:rPr>
              <w:t xml:space="preserve">Share </w:t>
            </w:r>
            <w:r>
              <w:rPr>
                <w:rFonts w:ascii="Times New Roman" w:cs="Times New Roman" w:eastAsia="Times New Roman" w:hAnsi="Times New Roman"/>
                <w:sz w:val="14"/>
                <w:szCs w:val="14"/>
                <w:b w:val="1"/>
                <w:bCs w:val="1"/>
                <w:color w:val="FFFFFF"/>
              </w:rPr>
              <w:t>​</w:t>
            </w:r>
          </w:p>
        </w:tc>
        <w:tc>
          <w:tcPr>
            <w:tcW w:w="8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262626"/>
              </w:rPr>
              <w:t>Share</w:t>
            </w:r>
          </w:p>
        </w:tc>
        <w:tc>
          <w:tcPr>
            <w:tcW w:w="120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FFFFFF"/>
              </w:rPr>
              <w:t xml:space="preserve">​ </w:t>
            </w:r>
            <w:r>
              <w:rPr>
                <w:rFonts w:ascii="Times New Roman" w:cs="Times New Roman" w:eastAsia="Times New Roman" w:hAnsi="Times New Roman"/>
                <w:sz w:val="14"/>
                <w:szCs w:val="14"/>
                <w:b w:val="1"/>
                <w:bCs w:val="1"/>
                <w:color w:val="262626"/>
              </w:rPr>
              <w:t>Equity settled</w:t>
            </w:r>
            <w:r>
              <w:rPr>
                <w:rFonts w:ascii="Times New Roman" w:cs="Times New Roman" w:eastAsia="Times New Roman" w:hAnsi="Times New Roman"/>
                <w:sz w:val="14"/>
                <w:szCs w:val="14"/>
                <w:b w:val="1"/>
                <w:bCs w:val="1"/>
                <w:color w:val="FFFFFF"/>
              </w:rPr>
              <w:t xml:space="preserve"> ​</w:t>
            </w:r>
          </w:p>
        </w:tc>
        <w:tc>
          <w:tcPr>
            <w:tcW w:w="84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262626"/>
              </w:rPr>
              <w:t>Translation</w:t>
            </w:r>
          </w:p>
        </w:tc>
        <w:tc>
          <w:tcPr>
            <w:tcW w:w="116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FFFFFF"/>
              </w:rPr>
              <w:t xml:space="preserve">​ </w:t>
            </w:r>
            <w:r>
              <w:rPr>
                <w:rFonts w:ascii="Times New Roman" w:cs="Times New Roman" w:eastAsia="Times New Roman" w:hAnsi="Times New Roman"/>
                <w:sz w:val="14"/>
                <w:szCs w:val="14"/>
                <w:b w:val="1"/>
                <w:bCs w:val="1"/>
                <w:color w:val="262626"/>
              </w:rPr>
              <w:t>Accumulated</w:t>
            </w:r>
            <w:r>
              <w:rPr>
                <w:rFonts w:ascii="Times New Roman" w:cs="Times New Roman" w:eastAsia="Times New Roman" w:hAnsi="Times New Roman"/>
                <w:sz w:val="14"/>
                <w:szCs w:val="14"/>
                <w:b w:val="1"/>
                <w:bCs w:val="1"/>
                <w:color w:val="FFFFFF"/>
              </w:rPr>
              <w:t xml:space="preserve"> ​</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262626"/>
              </w:rPr>
              <w:t>Total</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262626"/>
              </w:rPr>
              <w:t>of shares</w:t>
            </w:r>
          </w:p>
        </w:tc>
        <w:tc>
          <w:tcPr>
            <w:tcW w:w="940" w:type="dxa"/>
            <w:vAlign w:val="bottom"/>
            <w:gridSpan w:val="2"/>
          </w:tcPr>
          <w:p>
            <w:pPr>
              <w:ind w:left="280"/>
              <w:spacing w:after="0" w:line="151" w:lineRule="exact"/>
              <w:rPr>
                <w:sz w:val="20"/>
                <w:szCs w:val="20"/>
                <w:color w:val="auto"/>
              </w:rPr>
            </w:pPr>
            <w:r>
              <w:rPr>
                <w:rFonts w:ascii="Times New Roman" w:cs="Times New Roman" w:eastAsia="Times New Roman" w:hAnsi="Times New Roman"/>
                <w:sz w:val="14"/>
                <w:szCs w:val="14"/>
                <w:b w:val="1"/>
                <w:bCs w:val="1"/>
                <w:color w:val="262626"/>
              </w:rPr>
              <w:t>Capital</w:t>
            </w:r>
          </w:p>
        </w:tc>
        <w:tc>
          <w:tcPr>
            <w:tcW w:w="840" w:type="dxa"/>
            <w:vAlign w:val="bottom"/>
            <w:gridSpan w:val="2"/>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262626"/>
              </w:rPr>
              <w:t>Premium</w:t>
            </w:r>
          </w:p>
        </w:tc>
        <w:tc>
          <w:tcPr>
            <w:tcW w:w="120" w:type="dxa"/>
            <w:vAlign w:val="bottom"/>
          </w:tcPr>
          <w:p>
            <w:pPr>
              <w:spacing w:after="0"/>
              <w:rPr>
                <w:sz w:val="13"/>
                <w:szCs w:val="13"/>
                <w:color w:val="auto"/>
              </w:rPr>
            </w:pPr>
          </w:p>
        </w:tc>
        <w:tc>
          <w:tcPr>
            <w:tcW w:w="1080" w:type="dxa"/>
            <w:vAlign w:val="bottom"/>
            <w:gridSpan w:val="2"/>
          </w:tcPr>
          <w:p>
            <w:pPr>
              <w:jc w:val="right"/>
              <w:ind w:right="148"/>
              <w:spacing w:after="0" w:line="151" w:lineRule="exact"/>
              <w:rPr>
                <w:sz w:val="20"/>
                <w:szCs w:val="20"/>
                <w:color w:val="auto"/>
              </w:rPr>
            </w:pPr>
            <w:r>
              <w:rPr>
                <w:rFonts w:ascii="Times New Roman" w:cs="Times New Roman" w:eastAsia="Times New Roman" w:hAnsi="Times New Roman"/>
                <w:sz w:val="14"/>
                <w:szCs w:val="14"/>
                <w:b w:val="1"/>
                <w:bCs w:val="1"/>
                <w:color w:val="262626"/>
              </w:rPr>
              <w:t>Employee</w:t>
            </w:r>
          </w:p>
        </w:tc>
        <w:tc>
          <w:tcPr>
            <w:tcW w:w="840" w:type="dxa"/>
            <w:vAlign w:val="bottom"/>
            <w:gridSpan w:val="2"/>
          </w:tcPr>
          <w:p>
            <w:pPr>
              <w:jc w:val="right"/>
              <w:ind w:right="28"/>
              <w:spacing w:after="0" w:line="151" w:lineRule="exact"/>
              <w:rPr>
                <w:sz w:val="20"/>
                <w:szCs w:val="20"/>
                <w:color w:val="auto"/>
              </w:rPr>
            </w:pPr>
            <w:r>
              <w:rPr>
                <w:rFonts w:ascii="Times New Roman" w:cs="Times New Roman" w:eastAsia="Times New Roman" w:hAnsi="Times New Roman"/>
                <w:sz w:val="14"/>
                <w:szCs w:val="14"/>
                <w:b w:val="1"/>
                <w:bCs w:val="1"/>
                <w:color w:val="262626"/>
              </w:rPr>
              <w:t>Reserve</w:t>
            </w:r>
          </w:p>
        </w:tc>
        <w:tc>
          <w:tcPr>
            <w:tcW w:w="120" w:type="dxa"/>
            <w:vAlign w:val="bottom"/>
          </w:tcPr>
          <w:p>
            <w:pPr>
              <w:spacing w:after="0"/>
              <w:rPr>
                <w:sz w:val="13"/>
                <w:szCs w:val="13"/>
                <w:color w:val="auto"/>
              </w:rPr>
            </w:pPr>
          </w:p>
        </w:tc>
        <w:tc>
          <w:tcPr>
            <w:tcW w:w="1040" w:type="dxa"/>
            <w:vAlign w:val="bottom"/>
            <w:gridSpan w:val="2"/>
          </w:tcPr>
          <w:p>
            <w:pPr>
              <w:ind w:left="400"/>
              <w:spacing w:after="0" w:line="151" w:lineRule="exact"/>
              <w:rPr>
                <w:sz w:val="20"/>
                <w:szCs w:val="20"/>
                <w:color w:val="auto"/>
              </w:rPr>
            </w:pPr>
            <w:r>
              <w:rPr>
                <w:rFonts w:ascii="Times New Roman" w:cs="Times New Roman" w:eastAsia="Times New Roman" w:hAnsi="Times New Roman"/>
                <w:sz w:val="14"/>
                <w:szCs w:val="14"/>
                <w:b w:val="1"/>
                <w:bCs w:val="1"/>
                <w:color w:val="262626"/>
              </w:rPr>
              <w:t>Deficit</w:t>
            </w:r>
          </w:p>
        </w:tc>
        <w:tc>
          <w:tcPr>
            <w:tcW w:w="820" w:type="dxa"/>
            <w:vAlign w:val="bottom"/>
            <w:gridSpan w:val="3"/>
          </w:tcPr>
          <w:p>
            <w:pPr>
              <w:jc w:val="right"/>
              <w:ind w:right="80"/>
              <w:spacing w:after="0" w:line="151" w:lineRule="exact"/>
              <w:rPr>
                <w:sz w:val="20"/>
                <w:szCs w:val="20"/>
                <w:color w:val="auto"/>
              </w:rPr>
            </w:pPr>
            <w:r>
              <w:rPr>
                <w:rFonts w:ascii="Times New Roman" w:cs="Times New Roman" w:eastAsia="Times New Roman" w:hAnsi="Times New Roman"/>
                <w:sz w:val="14"/>
                <w:szCs w:val="14"/>
                <w:b w:val="1"/>
                <w:bCs w:val="1"/>
                <w:color w:val="262626"/>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FFFFFF"/>
              </w:rPr>
              <w: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262626"/>
              </w:rPr>
              <w:t>Benefit</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262626"/>
              </w:rPr>
              <w:t>Reserve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464646"/>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spacing w:after="0"/>
              <w:rPr>
                <w:sz w:val="12"/>
                <w:szCs w:val="12"/>
                <w:color w:val="auto"/>
              </w:rPr>
            </w:pPr>
          </w:p>
        </w:tc>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262626"/>
              </w:rPr>
              <w:t>​</w:t>
            </w: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60" w:type="dxa"/>
            <w:vAlign w:val="bottom"/>
          </w:tcPr>
          <w:p>
            <w:pPr>
              <w:spacing w:after="0"/>
              <w:rPr>
                <w:sz w:val="12"/>
                <w:szCs w:val="12"/>
                <w:color w:val="auto"/>
              </w:rPr>
            </w:pPr>
          </w:p>
        </w:tc>
        <w:tc>
          <w:tcPr>
            <w:tcW w:w="80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6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8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262626"/>
              </w:rPr>
              <w:t>Balance at January 1, 2025</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107,710,916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4,308</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483,812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26,248</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1,350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(427,158)</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88,560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Result for the period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(10,079)</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(10,079)</w:t>
            </w:r>
          </w:p>
        </w:tc>
        <w:tc>
          <w:tcPr>
            <w:tcW w:w="20" w:type="dxa"/>
            <w:vAlign w:val="bottom"/>
            <w:tcBorders>
              <w:bottom w:val="single" w:sz="8" w:color="464646"/>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262626"/>
              </w:rPr>
              <w:t>Other comprehensive income</w:t>
            </w: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(371)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262626"/>
              </w:rPr>
              <w:t>(371)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Recognition of share-based payments</w:t>
            </w:r>
          </w:p>
        </w:tc>
        <w:tc>
          <w:tcPr>
            <w:tcW w:w="18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758</w:t>
            </w:r>
          </w:p>
        </w:tc>
        <w:tc>
          <w:tcPr>
            <w:tcW w:w="16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758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Treasury shares transferred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(130,436)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Share options lapsed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(826)</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826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Share options exercised / RSUs vested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130,436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(180)</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180</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67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464646"/>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920" w:type="dxa"/>
            <w:vAlign w:val="bottom"/>
            <w:tcBorders>
              <w:bottom w:val="single" w:sz="8" w:color="464646"/>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860" w:type="dxa"/>
            <w:vAlign w:val="bottom"/>
            <w:tcBorders>
              <w:bottom w:val="single" w:sz="8" w:color="464646"/>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262626"/>
              </w:rPr>
              <w:t>Balance at March 31, 2025</w:t>
            </w: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107,710,916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4,308</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483,879</w:t>
            </w:r>
          </w:p>
        </w:tc>
        <w:tc>
          <w:tcPr>
            <w:tcW w:w="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26,000</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979</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(436,231)</w:t>
            </w: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78,935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464646"/>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920" w:type="dxa"/>
            <w:vAlign w:val="bottom"/>
            <w:tcBorders>
              <w:bottom w:val="single" w:sz="8" w:color="464646"/>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860" w:type="dxa"/>
            <w:vAlign w:val="bottom"/>
            <w:tcBorders>
              <w:bottom w:val="single" w:sz="8" w:color="464646"/>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262626"/>
              </w:rPr>
              <w:t>Balance at January 1, 2026</w:t>
            </w: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107,710,916</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4,308</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483,881</w:t>
            </w:r>
          </w:p>
        </w:tc>
        <w:tc>
          <w:tcPr>
            <w:tcW w:w="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28,426</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265</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(467,506)</w:t>
            </w: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49,374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Result for the period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(13,383)</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(13,383)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Other comprehensive income</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179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179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Recognition of share-based payments</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1,428</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1,428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Treasury shares transferred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(1,091)</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Share options lapsed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2"/>
                <w:szCs w:val="12"/>
                <w:color w:val="auto"/>
              </w:rPr>
            </w:pP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(1,994)</w:t>
            </w:r>
          </w:p>
        </w:tc>
        <w:tc>
          <w:tcPr>
            <w:tcW w:w="16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1,994</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262626"/>
              </w:rPr>
              <w:t>Share options exercised / RSUs vested</w:t>
            </w:r>
          </w:p>
        </w:tc>
        <w:tc>
          <w:tcPr>
            <w:tcW w:w="180" w:type="dxa"/>
            <w:vAlign w:val="bottom"/>
          </w:tcPr>
          <w:p>
            <w:pPr>
              <w:spacing w:after="0"/>
              <w:rPr>
                <w:sz w:val="12"/>
                <w:szCs w:val="12"/>
                <w:color w:val="auto"/>
              </w:rPr>
            </w:pP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1,091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80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120" w:type="dxa"/>
            <w:vAlign w:val="bottom"/>
          </w:tcPr>
          <w:p>
            <w:pPr>
              <w:spacing w:after="0"/>
              <w:rPr>
                <w:sz w:val="12"/>
                <w:szCs w:val="12"/>
                <w:color w:val="auto"/>
              </w:rPr>
            </w:pPr>
          </w:p>
        </w:tc>
        <w:tc>
          <w:tcPr>
            <w:tcW w:w="92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120" w:type="dxa"/>
            <w:vAlign w:val="bottom"/>
          </w:tcPr>
          <w:p>
            <w:pPr>
              <w:spacing w:after="0"/>
              <w:rPr>
                <w:sz w:val="12"/>
                <w:szCs w:val="12"/>
                <w:color w:val="auto"/>
              </w:rPr>
            </w:pPr>
          </w:p>
        </w:tc>
        <w:tc>
          <w:tcPr>
            <w:tcW w:w="86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780" w:type="dxa"/>
            <w:vAlign w:val="bottom"/>
            <w:tcBorders>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bottom w:val="single" w:sz="8" w:color="464646"/>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800" w:type="dxa"/>
            <w:vAlign w:val="bottom"/>
            <w:tcBorders>
              <w:bottom w:val="single" w:sz="8" w:color="464646"/>
            </w:tcBorders>
          </w:tcPr>
          <w:p>
            <w:pPr>
              <w:spacing w:after="0"/>
              <w:rPr>
                <w:sz w:val="12"/>
                <w:szCs w:val="12"/>
                <w:color w:val="auto"/>
              </w:rPr>
            </w:pPr>
          </w:p>
        </w:tc>
        <w:tc>
          <w:tcPr>
            <w:tcW w:w="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464646"/>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bottom w:val="single" w:sz="8" w:color="464646"/>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780" w:type="dxa"/>
            <w:vAlign w:val="bottom"/>
            <w:tcBorders>
              <w:bottom w:val="single" w:sz="8" w:color="464646"/>
            </w:tcBorders>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2A49B"/>
            </w:tcBorders>
          </w:tcPr>
          <w:p>
            <w:pPr>
              <w:spacing w:after="0"/>
              <w:rPr>
                <w:sz w:val="12"/>
                <w:szCs w:val="12"/>
                <w:color w:val="auto"/>
              </w:rPr>
            </w:pPr>
          </w:p>
        </w:tc>
        <w:tc>
          <w:tcPr>
            <w:tcW w:w="2500" w:type="dxa"/>
            <w:vAlign w:val="bottom"/>
            <w:tcBorders>
              <w:bottom w:val="single" w:sz="8" w:color="22A49B"/>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262626"/>
              </w:rPr>
              <w:t>Balance at March 31, 2026</w:t>
            </w:r>
          </w:p>
        </w:tc>
        <w:tc>
          <w:tcPr>
            <w:tcW w:w="180" w:type="dxa"/>
            <w:vAlign w:val="bottom"/>
            <w:tcBorders>
              <w:bottom w:val="single" w:sz="8" w:color="22A49B"/>
            </w:tcBorders>
          </w:tcPr>
          <w:p>
            <w:pPr>
              <w:spacing w:after="0"/>
              <w:rPr>
                <w:sz w:val="12"/>
                <w:szCs w:val="12"/>
                <w:color w:val="auto"/>
              </w:rPr>
            </w:pPr>
          </w:p>
        </w:tc>
        <w:tc>
          <w:tcPr>
            <w:tcW w:w="78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107,710,916</w:t>
            </w:r>
          </w:p>
        </w:tc>
        <w:tc>
          <w:tcPr>
            <w:tcW w:w="180" w:type="dxa"/>
            <w:vAlign w:val="bottom"/>
            <w:tcBorders>
              <w:bottom w:val="single" w:sz="8" w:color="22A49B"/>
            </w:tcBorders>
          </w:tcPr>
          <w:p>
            <w:pPr>
              <w:spacing w:after="0"/>
              <w:rPr>
                <w:sz w:val="12"/>
                <w:szCs w:val="12"/>
                <w:color w:val="auto"/>
              </w:rPr>
            </w:pPr>
          </w:p>
        </w:tc>
        <w:tc>
          <w:tcPr>
            <w:tcW w:w="78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4,308</w:t>
            </w:r>
          </w:p>
        </w:tc>
        <w:tc>
          <w:tcPr>
            <w:tcW w:w="160" w:type="dxa"/>
            <w:vAlign w:val="bottom"/>
            <w:tcBorders>
              <w:bottom w:val="single" w:sz="8" w:color="22A49B"/>
            </w:tcBorders>
          </w:tcPr>
          <w:p>
            <w:pPr>
              <w:spacing w:after="0"/>
              <w:rPr>
                <w:sz w:val="12"/>
                <w:szCs w:val="12"/>
                <w:color w:val="auto"/>
              </w:rPr>
            </w:pPr>
          </w:p>
        </w:tc>
        <w:tc>
          <w:tcPr>
            <w:tcW w:w="80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483,881</w:t>
            </w:r>
          </w:p>
        </w:tc>
        <w:tc>
          <w:tcPr>
            <w:tcW w:w="40" w:type="dxa"/>
            <w:vAlign w:val="bottom"/>
            <w:tcBorders>
              <w:bottom w:val="single" w:sz="8" w:color="22A49B"/>
            </w:tcBorders>
          </w:tcPr>
          <w:p>
            <w:pPr>
              <w:spacing w:after="0"/>
              <w:rPr>
                <w:sz w:val="12"/>
                <w:szCs w:val="12"/>
                <w:color w:val="auto"/>
              </w:rPr>
            </w:pPr>
          </w:p>
        </w:tc>
        <w:tc>
          <w:tcPr>
            <w:tcW w:w="120" w:type="dxa"/>
            <w:vAlign w:val="bottom"/>
            <w:tcBorders>
              <w:bottom w:val="single" w:sz="8" w:color="22A49B"/>
            </w:tcBorders>
          </w:tcPr>
          <w:p>
            <w:pPr>
              <w:spacing w:after="0"/>
              <w:rPr>
                <w:sz w:val="12"/>
                <w:szCs w:val="12"/>
                <w:color w:val="auto"/>
              </w:rPr>
            </w:pPr>
          </w:p>
        </w:tc>
        <w:tc>
          <w:tcPr>
            <w:tcW w:w="92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27,859</w:t>
            </w:r>
          </w:p>
        </w:tc>
        <w:tc>
          <w:tcPr>
            <w:tcW w:w="160" w:type="dxa"/>
            <w:vAlign w:val="bottom"/>
            <w:tcBorders>
              <w:bottom w:val="single" w:sz="8" w:color="22A49B"/>
            </w:tcBorders>
          </w:tcPr>
          <w:p>
            <w:pPr>
              <w:spacing w:after="0"/>
              <w:rPr>
                <w:sz w:val="12"/>
                <w:szCs w:val="12"/>
                <w:color w:val="auto"/>
              </w:rPr>
            </w:pPr>
          </w:p>
        </w:tc>
        <w:tc>
          <w:tcPr>
            <w:tcW w:w="78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444</w:t>
            </w:r>
          </w:p>
        </w:tc>
        <w:tc>
          <w:tcPr>
            <w:tcW w:w="60" w:type="dxa"/>
            <w:vAlign w:val="bottom"/>
            <w:tcBorders>
              <w:bottom w:val="single" w:sz="8" w:color="22A49B"/>
            </w:tcBorders>
          </w:tcPr>
          <w:p>
            <w:pPr>
              <w:spacing w:after="0"/>
              <w:rPr>
                <w:sz w:val="12"/>
                <w:szCs w:val="12"/>
                <w:color w:val="auto"/>
              </w:rPr>
            </w:pPr>
          </w:p>
        </w:tc>
        <w:tc>
          <w:tcPr>
            <w:tcW w:w="120" w:type="dxa"/>
            <w:vAlign w:val="bottom"/>
            <w:tcBorders>
              <w:bottom w:val="single" w:sz="8" w:color="22A49B"/>
            </w:tcBorders>
          </w:tcPr>
          <w:p>
            <w:pPr>
              <w:spacing w:after="0"/>
              <w:rPr>
                <w:sz w:val="12"/>
                <w:szCs w:val="12"/>
                <w:color w:val="auto"/>
              </w:rPr>
            </w:pPr>
          </w:p>
        </w:tc>
        <w:tc>
          <w:tcPr>
            <w:tcW w:w="86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(478,894)</w:t>
            </w:r>
          </w:p>
        </w:tc>
        <w:tc>
          <w:tcPr>
            <w:tcW w:w="180" w:type="dxa"/>
            <w:vAlign w:val="bottom"/>
            <w:tcBorders>
              <w:bottom w:val="single" w:sz="8" w:color="22A49B"/>
            </w:tcBorders>
          </w:tcPr>
          <w:p>
            <w:pPr>
              <w:spacing w:after="0"/>
              <w:rPr>
                <w:sz w:val="12"/>
                <w:szCs w:val="12"/>
                <w:color w:val="auto"/>
              </w:rPr>
            </w:pPr>
          </w:p>
        </w:tc>
        <w:tc>
          <w:tcPr>
            <w:tcW w:w="780" w:type="dxa"/>
            <w:vAlign w:val="bottom"/>
            <w:tcBorders>
              <w:bottom w:val="single" w:sz="8" w:color="22A49B"/>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262626"/>
              </w:rPr>
              <w:t>37,598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598360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80"/>
          </w:cols>
          <w:pgMar w:left="1220" w:top="512" w:right="119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00AAA1"/>
        </w:rPr>
        <w:t>PAGE 4</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PROQR THERAPEUTICS N.V.</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Unaudited Condensed Consolidated Statement of Cash Flows</w:t>
      </w:r>
    </w:p>
    <w:p>
      <w:pPr>
        <w:sectPr>
          <w:pgSz w:w="11900" w:h="16838" w:orient="portrait"/>
          <w:cols w:equalWidth="0" w:num="1">
            <w:col w:w="9060"/>
          </w:cols>
          <w:pgMar w:left="1440" w:top="512"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Net result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Adjustments for:</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62626"/>
              </w:rPr>
              <w:t>14</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 Other income</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 Depreciation</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262626"/>
              </w:rPr>
              <w:t>12</w:t>
            </w:r>
          </w:p>
        </w:tc>
        <w:tc>
          <w:tcPr>
            <w:tcW w:w="0" w:type="dxa"/>
            <w:vAlign w:val="bottom"/>
          </w:tcPr>
          <w:p>
            <w:pPr>
              <w:spacing w:after="0"/>
              <w:rPr>
                <w:sz w:val="1"/>
                <w:szCs w:val="1"/>
                <w:color w:val="auto"/>
              </w:rPr>
            </w:pPr>
          </w:p>
        </w:tc>
      </w:tr>
      <w:tr>
        <w:trPr>
          <w:trHeight w:val="149"/>
        </w:trPr>
        <w:tc>
          <w:tcPr>
            <w:tcW w:w="6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Share-based compensation</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wp:posOffset>
            </wp:positionV>
            <wp:extent cx="39776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-723900</wp:posOffset>
            </wp:positionV>
            <wp:extent cx="39776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-826770</wp:posOffset>
            </wp:positionV>
            <wp:extent cx="39776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9776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-1023620</wp:posOffset>
            </wp:positionV>
            <wp:extent cx="57003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color w:val="auto"/>
        </w:rPr>
        <w:t>— Financial income and expenses</w:t>
      </w:r>
    </w:p>
    <w:p>
      <w:pPr>
        <w:spacing w:after="0" w:line="1" w:lineRule="exact"/>
        <w:rPr>
          <w:sz w:val="20"/>
          <w:szCs w:val="20"/>
          <w:color w:val="auto"/>
        </w:rPr>
      </w:pPr>
    </w:p>
    <w:p>
      <w:pPr>
        <w:ind w:left="60"/>
        <w:spacing w:after="0" w:line="221" w:lineRule="auto"/>
        <w:rPr>
          <w:sz w:val="20"/>
          <w:szCs w:val="20"/>
          <w:color w:val="auto"/>
        </w:rPr>
      </w:pPr>
      <w:r>
        <w:rPr>
          <w:rFonts w:ascii="Times New Roman" w:cs="Times New Roman" w:eastAsia="Times New Roman" w:hAnsi="Times New Roman"/>
          <w:sz w:val="14"/>
          <w:szCs w:val="14"/>
          <w:color w:val="auto"/>
        </w:rPr>
        <w:t>— Results related to financial liabilities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-97790</wp:posOffset>
            </wp:positionV>
            <wp:extent cx="39776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49"/>
        </w:trPr>
        <w:tc>
          <w:tcPr>
            <w:tcW w:w="6280" w:type="dxa"/>
            <w:vAlign w:val="bottom"/>
            <w:tcBorders>
              <w:top w:val="single" w:sz="8" w:color="auto"/>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 Income tax expenses</w:t>
            </w:r>
          </w:p>
        </w:tc>
        <w:tc>
          <w:tcPr>
            <w:tcW w:w="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262626"/>
                <w:w w:val="99"/>
              </w:rPr>
              <w:t>18</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Changes in working capital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Cash used in operations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Corporate income tax paid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received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Interest paid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Net cash used in operating activities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w w:val="99"/>
              </w:rPr>
              <w:t>12</w:t>
            </w:r>
          </w:p>
        </w:tc>
        <w:tc>
          <w:tcPr>
            <w:tcW w:w="0" w:type="dxa"/>
            <w:vAlign w:val="bottom"/>
          </w:tcPr>
          <w:p>
            <w:pPr>
              <w:spacing w:after="0"/>
              <w:rPr>
                <w:sz w:val="1"/>
                <w:szCs w:val="1"/>
                <w:color w:val="auto"/>
              </w:rPr>
            </w:pPr>
          </w:p>
        </w:tc>
      </w:tr>
      <w:tr>
        <w:trPr>
          <w:trHeight w:val="119"/>
        </w:trPr>
        <w:tc>
          <w:tcPr>
            <w:tcW w:w="6280" w:type="dxa"/>
            <w:vAlign w:val="bottom"/>
          </w:tcPr>
          <w:p>
            <w:pPr>
              <w:ind w:left="20"/>
              <w:spacing w:after="0" w:line="119" w:lineRule="exact"/>
              <w:rPr>
                <w:sz w:val="20"/>
                <w:szCs w:val="20"/>
                <w:color w:val="auto"/>
              </w:rPr>
            </w:pPr>
            <w:r>
              <w:rPr>
                <w:rFonts w:ascii="Times New Roman" w:cs="Times New Roman" w:eastAsia="Times New Roman" w:hAnsi="Times New Roman"/>
                <w:sz w:val="13"/>
                <w:szCs w:val="13"/>
                <w:color w:val="auto"/>
              </w:rPr>
              <w:t>Proceeds from exercise of share options</w:t>
            </w:r>
          </w:p>
        </w:tc>
        <w:tc>
          <w:tcPr>
            <w:tcW w:w="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w w:val="99"/>
              </w:rPr>
              <w:t>10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Repayment of lease liability</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Currency effect cash and cash equivalents</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262626"/>
                <w:w w:val="85"/>
              </w:rPr>
              <w:t>5</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70039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39776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 period</w:t>
      </w:r>
    </w:p>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106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464646"/>
            </w:tcBorders>
          </w:tcPr>
          <w:p>
            <w:pPr>
              <w:spacing w:after="0"/>
              <w:rPr>
                <w:sz w:val="12"/>
                <w:szCs w:val="12"/>
                <w:color w:val="auto"/>
              </w:rPr>
            </w:pPr>
          </w:p>
        </w:tc>
        <w:tc>
          <w:tcPr>
            <w:tcW w:w="1060" w:type="dxa"/>
            <w:vAlign w:val="bottom"/>
            <w:tcBorders>
              <w:top w:val="single" w:sz="8" w:color="464646"/>
              <w:bottom w:val="single" w:sz="8" w:color="464646"/>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spacing w:after="0"/>
              <w:rPr>
                <w:sz w:val="12"/>
                <w:szCs w:val="12"/>
                <w:color w:val="auto"/>
              </w:rPr>
            </w:pPr>
          </w:p>
        </w:tc>
        <w:tc>
          <w:tcPr>
            <w:tcW w:w="280" w:type="dxa"/>
            <w:vAlign w:val="bottom"/>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(13,383)</w:t>
            </w: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(10,079)</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525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-95885</wp:posOffset>
            </wp:positionV>
            <wp:extent cx="152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61"/>
        </w:trPr>
        <w:tc>
          <w:tcPr>
            <w:tcW w:w="9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694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r>
      <w:tr>
        <w:trPr>
          <w:trHeight w:val="178"/>
        </w:trPr>
        <w:tc>
          <w:tcPr>
            <w:tcW w:w="9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1,428</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525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-106680</wp:posOffset>
            </wp:positionV>
            <wp:extent cx="1525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100" w:hanging="1354"/>
        <w:spacing w:after="0"/>
        <w:tabs>
          <w:tab w:leader="none" w:pos="21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100" w:hanging="1282"/>
        <w:spacing w:after="0"/>
        <w:tabs>
          <w:tab w:leader="none" w:pos="2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860"/>
        <w:spacing w:after="0"/>
        <w:tabs>
          <w:tab w:leader="none" w:pos="2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280" w:type="dxa"/>
            <w:vAlign w:val="bottom"/>
          </w:tcPr>
          <w:p>
            <w:pPr>
              <w:spacing w:after="0"/>
              <w:rPr>
                <w:sz w:val="14"/>
                <w:szCs w:val="14"/>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(6,721)</w:t>
            </w:r>
          </w:p>
        </w:tc>
        <w:tc>
          <w:tcPr>
            <w:tcW w:w="20" w:type="dxa"/>
            <w:vAlign w:val="bottom"/>
          </w:tcPr>
          <w:p>
            <w:pPr>
              <w:spacing w:after="0"/>
              <w:rPr>
                <w:sz w:val="14"/>
                <w:szCs w:val="14"/>
                <w:color w:val="auto"/>
              </w:rPr>
            </w:pPr>
          </w:p>
        </w:tc>
      </w:tr>
      <w:tr>
        <w:trPr>
          <w:trHeight w:val="142"/>
        </w:trPr>
        <w:tc>
          <w:tcPr>
            <w:tcW w:w="10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(11,465)</w:t>
            </w:r>
          </w:p>
        </w:tc>
        <w:tc>
          <w:tcPr>
            <w:tcW w:w="2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i w:val="1"/>
                <w:iCs w:val="1"/>
                <w:color w:val="auto"/>
              </w:rPr>
              <w:t>(16,376)</w:t>
            </w:r>
          </w:p>
        </w:tc>
        <w:tc>
          <w:tcPr>
            <w:tcW w:w="20" w:type="dxa"/>
            <w:vAlign w:val="bottom"/>
          </w:tcPr>
          <w:p>
            <w:pPr>
              <w:spacing w:after="0"/>
              <w:rPr>
                <w:sz w:val="12"/>
                <w:szCs w:val="12"/>
                <w:color w:val="auto"/>
              </w:rPr>
            </w:pPr>
          </w:p>
        </w:tc>
      </w:tr>
      <w:tr>
        <w:trPr>
          <w:trHeight w:val="142"/>
        </w:trPr>
        <w:tc>
          <w:tcPr>
            <w:tcW w:w="10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spacing w:after="0"/>
              <w:rPr>
                <w:sz w:val="12"/>
                <w:szCs w:val="12"/>
                <w:color w:val="auto"/>
              </w:rPr>
            </w:pPr>
          </w:p>
        </w:tc>
        <w:tc>
          <w:tcPr>
            <w:tcW w:w="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525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ind w:left="2140" w:hanging="1343"/>
        <w:spacing w:after="0"/>
        <w:tabs>
          <w:tab w:leader="none" w:pos="2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788</w:t>
      </w:r>
    </w:p>
    <w:p>
      <w:pPr>
        <w:spacing w:after="0" w:line="1" w:lineRule="exact"/>
        <w:rPr>
          <w:rFonts w:ascii="Times New Roman" w:cs="Times New Roman" w:eastAsia="Times New Roman" w:hAnsi="Times New Roman"/>
          <w:sz w:val="14"/>
          <w:szCs w:val="14"/>
          <w:color w:val="auto"/>
        </w:rPr>
      </w:pPr>
    </w:p>
    <w:p>
      <w:pPr>
        <w:ind w:left="2100" w:hanging="1282"/>
        <w:spacing w:after="0"/>
        <w:tabs>
          <w:tab w:leader="none" w:pos="210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(210)</w:t>
      </w:r>
    </w:p>
    <w:p>
      <w:pPr>
        <w:spacing w:after="0" w:line="1" w:lineRule="exact"/>
        <w:rPr>
          <w:rFonts w:ascii="Times New Roman" w:cs="Times New Roman" w:eastAsia="Times New Roman" w:hAnsi="Times New Roman"/>
          <w:sz w:val="14"/>
          <w:szCs w:val="14"/>
          <w:color w:val="auto"/>
        </w:rPr>
      </w:pPr>
    </w:p>
    <w:p>
      <w:pPr>
        <w:ind w:left="2400" w:hanging="1342"/>
        <w:spacing w:after="0" w:line="231" w:lineRule="auto"/>
        <w:tabs>
          <w:tab w:leader="none" w:pos="2400" w:val="left"/>
        </w:tabs>
        <w:numPr>
          <w:ilvl w:val="2"/>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525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25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-205105</wp:posOffset>
            </wp:positionV>
            <wp:extent cx="1525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(11,145)</w:t>
            </w:r>
          </w:p>
        </w:tc>
        <w:tc>
          <w:tcPr>
            <w:tcW w:w="28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(15,798)</w:t>
            </w:r>
          </w:p>
        </w:tc>
        <w:tc>
          <w:tcPr>
            <w:tcW w:w="20" w:type="dxa"/>
            <w:vAlign w:val="bottom"/>
          </w:tcPr>
          <w:p>
            <w:pPr>
              <w:spacing w:after="0"/>
              <w:rPr>
                <w:sz w:val="12"/>
                <w:szCs w:val="12"/>
                <w:color w:val="auto"/>
              </w:rPr>
            </w:pPr>
          </w:p>
        </w:tc>
      </w:tr>
      <w:tr>
        <w:trPr>
          <w:trHeight w:val="142"/>
        </w:trPr>
        <w:tc>
          <w:tcPr>
            <w:tcW w:w="10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spacing w:after="0"/>
              <w:rPr>
                <w:sz w:val="12"/>
                <w:szCs w:val="12"/>
                <w:color w:val="auto"/>
              </w:rPr>
            </w:pPr>
          </w:p>
        </w:tc>
        <w:tc>
          <w:tcPr>
            <w:tcW w:w="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r>
    </w:tbl>
    <w:p>
      <w:pPr>
        <w:spacing w:after="0" w:line="139" w:lineRule="exact"/>
        <w:rPr>
          <w:sz w:val="20"/>
          <w:szCs w:val="20"/>
          <w:color w:val="auto"/>
        </w:rPr>
      </w:pPr>
    </w:p>
    <w:p>
      <w:pPr>
        <w:ind w:left="2100" w:hanging="1354"/>
        <w:spacing w:after="0"/>
        <w:tabs>
          <w:tab w:leader="none" w:pos="21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525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-95885</wp:posOffset>
            </wp:positionV>
            <wp:extent cx="1525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jc w:val="both"/>
        <w:ind w:left="1060"/>
        <w:spacing w:after="0"/>
        <w:tabs>
          <w:tab w:leader="none" w:pos="23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2100" w:hanging="1354"/>
        <w:spacing w:after="0"/>
        <w:tabs>
          <w:tab w:leader="none" w:pos="2100"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(224)</w:t>
      </w:r>
    </w:p>
    <w:p>
      <w:pPr>
        <w:spacing w:after="0" w:line="1" w:lineRule="exact"/>
        <w:rPr>
          <w:rFonts w:ascii="Times New Roman" w:cs="Times New Roman" w:eastAsia="Times New Roman" w:hAnsi="Times New Roman"/>
          <w:sz w:val="14"/>
          <w:szCs w:val="14"/>
          <w:b w:val="1"/>
          <w:bCs w:val="1"/>
          <w:i w:val="1"/>
          <w:iCs w:val="1"/>
          <w:color w:val="auto"/>
        </w:rPr>
      </w:pPr>
    </w:p>
    <w:p>
      <w:pPr>
        <w:ind w:left="2400" w:hanging="1342"/>
        <w:spacing w:after="0"/>
        <w:tabs>
          <w:tab w:leader="none" w:pos="24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2400" w:hanging="1342"/>
        <w:spacing w:after="0"/>
        <w:tabs>
          <w:tab w:leader="none" w:pos="24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15259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-208915</wp:posOffset>
            </wp:positionV>
            <wp:extent cx="15259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-311785</wp:posOffset>
            </wp:positionV>
            <wp:extent cx="1525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2100" w:hanging="1354"/>
        <w:spacing w:after="0"/>
        <w:tabs>
          <w:tab w:leader="none" w:pos="21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(567)</w:t>
      </w:r>
    </w:p>
    <w:p>
      <w:pPr>
        <w:spacing w:after="0" w:line="1" w:lineRule="exact"/>
        <w:rPr>
          <w:rFonts w:ascii="Times New Roman" w:cs="Times New Roman" w:eastAsia="Times New Roman" w:hAnsi="Times New Roman"/>
          <w:sz w:val="14"/>
          <w:szCs w:val="14"/>
          <w:color w:val="auto"/>
        </w:rPr>
      </w:pPr>
    </w:p>
    <w:p>
      <w:pPr>
        <w:ind w:left="2400" w:hanging="1342"/>
        <w:spacing w:after="0"/>
        <w:tabs>
          <w:tab w:leader="none" w:pos="24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525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-106045</wp:posOffset>
            </wp:positionV>
            <wp:extent cx="15259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ind w:left="2100" w:hanging="1354"/>
        <w:spacing w:after="0"/>
        <w:tabs>
          <w:tab w:leader="none" w:pos="210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(500)</w:t>
      </w:r>
    </w:p>
    <w:p>
      <w:pPr>
        <w:spacing w:after="0" w:line="1" w:lineRule="exact"/>
        <w:rPr>
          <w:rFonts w:ascii="Times New Roman" w:cs="Times New Roman" w:eastAsia="Times New Roman" w:hAnsi="Times New Roman"/>
          <w:sz w:val="14"/>
          <w:szCs w:val="14"/>
          <w:b w:val="1"/>
          <w:bCs w:val="1"/>
          <w:i w:val="1"/>
          <w:iCs w:val="1"/>
          <w:color w:val="auto"/>
        </w:rPr>
      </w:pPr>
    </w:p>
    <w:p>
      <w:pPr>
        <w:ind w:left="2400" w:hanging="1342"/>
        <w:spacing w:after="0" w:line="231" w:lineRule="auto"/>
        <w:tabs>
          <w:tab w:leader="none" w:pos="24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1525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(11,613)</w:t>
            </w:r>
          </w:p>
        </w:tc>
        <w:tc>
          <w:tcPr>
            <w:tcW w:w="280" w:type="dxa"/>
            <w:vAlign w:val="bottom"/>
          </w:tcPr>
          <w:p>
            <w:pPr>
              <w:spacing w:after="0"/>
              <w:rPr>
                <w:sz w:val="12"/>
                <w:szCs w:val="12"/>
                <w:color w:val="auto"/>
              </w:rPr>
            </w:pP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(16,522)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spacing w:after="0"/>
              <w:rPr>
                <w:sz w:val="12"/>
                <w:szCs w:val="12"/>
                <w:color w:val="auto"/>
              </w:rPr>
            </w:pPr>
          </w:p>
        </w:tc>
        <w:tc>
          <w:tcPr>
            <w:tcW w:w="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288</w:t>
            </w: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92,413</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149,408</w:t>
            </w: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tcPr>
          <w:p>
            <w:pPr>
              <w:spacing w:after="0"/>
              <w:rPr>
                <w:sz w:val="12"/>
                <w:szCs w:val="12"/>
                <w:color w:val="auto"/>
              </w:rPr>
            </w:pPr>
          </w:p>
        </w:tc>
        <w:tc>
          <w:tcPr>
            <w:tcW w:w="280" w:type="dxa"/>
            <w:vAlign w:val="bottom"/>
            <w:vMerge w:val="continue"/>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81,088</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132,414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520" w:space="100"/>
            <w:col w:w="2440"/>
          </w:cols>
          <w:pgMar w:left="1440" w:top="512" w:right="1399" w:bottom="1440" w:gutter="0" w:footer="0" w:header="0"/>
          <w:type w:val="continuous"/>
        </w:sectPr>
      </w:pP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2" w:right="1399"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5</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PROQR THERAPEUTICS N.V.</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Notes to Unaudited Condensed Consolidated Financial Statements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 General Information</w:t>
      </w:r>
    </w:p>
    <w:p>
      <w:pPr>
        <w:spacing w:after="0" w:line="223"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6"/>
          <w:szCs w:val="16"/>
          <w:color w:val="auto"/>
        </w:rPr>
        <w:t>ProQR Therapeutics N.V., or “ProQR” or the “Company”, is a biotechnology company domiciled in the Netherlands that primarily focuses on the discovery and development of novel therapeutic medicines.</w:t>
      </w:r>
    </w:p>
    <w:p>
      <w:pPr>
        <w:spacing w:after="0" w:line="178" w:lineRule="exact"/>
        <w:rPr>
          <w:sz w:val="20"/>
          <w:szCs w:val="20"/>
          <w:color w:val="auto"/>
        </w:rPr>
      </w:pPr>
    </w:p>
    <w:p>
      <w:pPr>
        <w:jc w:val="both"/>
        <w:ind w:left="60" w:right="79"/>
        <w:spacing w:after="0" w:line="280" w:lineRule="auto"/>
        <w:rPr>
          <w:sz w:val="20"/>
          <w:szCs w:val="20"/>
          <w:color w:val="auto"/>
        </w:rPr>
      </w:pPr>
      <w:r>
        <w:rPr>
          <w:rFonts w:ascii="Times New Roman" w:cs="Times New Roman" w:eastAsia="Times New Roman" w:hAnsi="Times New Roman"/>
          <w:sz w:val="16"/>
          <w:szCs w:val="16"/>
          <w:color w:val="auto"/>
        </w:rPr>
        <w:t>Since September 18, 2014, the Company’s ordinary shares have been listed on Nasdaq. They are currently trading at Nasdaq Capital Market under ticker symbol PRQR.</w:t>
      </w:r>
    </w:p>
    <w:p>
      <w:pPr>
        <w:spacing w:after="0" w:line="165"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The Company was incorporated in the Netherlands, on February 21, 2012 (Chamber of Commerce no. 54600790) and was reorganized from a private company with limited liability to a public company with limited liability on September 23, 2014. The Company has its statutory seat in Leiden, the Netherlands. The address of its headquarters and registered office is Zernikedreef 9, 2333 CK Leiden, the Netherlands.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ProQR Therapeutics N.V. is the ultimate parent company of the following entities:</w:t>
      </w:r>
    </w:p>
    <w:p>
      <w:pPr>
        <w:spacing w:after="0" w:line="221" w:lineRule="exact"/>
        <w:rPr>
          <w:sz w:val="20"/>
          <w:szCs w:val="20"/>
          <w:color w:val="auto"/>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Holding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III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IV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V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VI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VII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VIII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IX B.V. (100%);</w:t>
      </w:r>
    </w:p>
    <w:p>
      <w:pPr>
        <w:spacing w:after="0" w:line="221" w:lineRule="exact"/>
        <w:rPr>
          <w:rFonts w:ascii="Times New Roman" w:cs="Times New Roman" w:eastAsia="Times New Roman" w:hAnsi="Times New Roman"/>
          <w:sz w:val="16"/>
          <w:szCs w:val="16"/>
          <w:color w:val="00AAA1"/>
        </w:rPr>
      </w:pPr>
    </w:p>
    <w:p>
      <w:pPr>
        <w:ind w:left="920" w:hanging="870"/>
        <w:spacing w:after="0"/>
        <w:tabs>
          <w:tab w:leader="none" w:pos="920" w:val="left"/>
        </w:tabs>
        <w:numPr>
          <w:ilvl w:val="0"/>
          <w:numId w:val="14"/>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ProQR Therapeutics I Inc. (100%)</w:t>
      </w:r>
    </w:p>
    <w:p>
      <w:pPr>
        <w:spacing w:after="0" w:line="221" w:lineRule="exact"/>
        <w:rPr>
          <w:sz w:val="20"/>
          <w:szCs w:val="20"/>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ProQR Therapeutics N.V. is also statutory director of Stichting Bewaarneming Aandelen ProQR (“ESOP Foundation”) and has full control over this entity.</w:t>
      </w:r>
    </w:p>
    <w:p>
      <w:pPr>
        <w:spacing w:after="0" w:line="151" w:lineRule="exact"/>
        <w:rPr>
          <w:sz w:val="20"/>
          <w:szCs w:val="20"/>
          <w:color w:val="auto"/>
        </w:rPr>
      </w:pPr>
    </w:p>
    <w:p>
      <w:pPr>
        <w:ind w:left="60" w:right="79"/>
        <w:spacing w:after="0" w:line="280" w:lineRule="auto"/>
        <w:rPr>
          <w:sz w:val="20"/>
          <w:szCs w:val="20"/>
          <w:color w:val="auto"/>
        </w:rPr>
      </w:pPr>
      <w:r>
        <w:rPr>
          <w:rFonts w:ascii="Times New Roman" w:cs="Times New Roman" w:eastAsia="Times New Roman" w:hAnsi="Times New Roman"/>
          <w:sz w:val="16"/>
          <w:szCs w:val="16"/>
          <w:color w:val="auto"/>
        </w:rPr>
        <w:t>As used in these condensed consolidated financial statements, unless the context indicates otherwise, all references to “ProQR” or the “Company” refer to ProQR Therapeutics N.V. including its subsidiaries and the ESOP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464820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6</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2. Significant Accounting Policies</w:t>
      </w:r>
    </w:p>
    <w:p>
      <w:pPr>
        <w:spacing w:after="0" w:line="22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6"/>
          <w:szCs w:val="16"/>
          <w:color w:val="auto"/>
        </w:rPr>
        <w:t>These interim condensed consolidated financial statements for the three month period ended March 31, 2026, have been prepared in accordance with IAS 34 Interim Financial Statements. They should be read in conjunction with the Company’s annual financial statements for the year ended December 31, 2025. These interim condensed consolidated financial statements do not include all information required for a complete set of financial statements prepared in accordance with IFRS Standards. However, selected explanatory notes are included to explain events and transactions that are significant to an understanding of the changes in the Company’s financial position and performance since the last annual financial statements. In the opinion of management, all events and transactions that are significant to an understanding of the changes in financial position and performance of the Company since the end of the last annual reporting period are disclosed in these interim condensed consolidated financial statements. The accounting policies adopted in the preparation of the interim condensed consolidated financial statements are consistent with those applied in the preparation of the Company’s annual financial statements for the year ended December 31, 2025.</w:t>
      </w:r>
    </w:p>
    <w:p>
      <w:pPr>
        <w:spacing w:after="0" w:line="199"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6"/>
          <w:szCs w:val="16"/>
          <w:color w:val="auto"/>
        </w:rPr>
        <w:t>The Company’s financial results have varied substantially, and are expected to continue to vary, from period to period. The Company believes that its ordinary activities are not linked to any particular seasonal factors.</w:t>
      </w:r>
    </w:p>
    <w:p>
      <w:pPr>
        <w:spacing w:after="0" w:line="165"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6"/>
          <w:szCs w:val="16"/>
          <w:color w:val="auto"/>
        </w:rPr>
        <w:t>The management of ProQR has, upon preparing and finalizing these interim condensed consolidated financial statements, assessed the Company’s ability to fund its operations for a period of at least one year after the date of signing these interim condensed consolidated financial statements. Management expects the Company to continue as a going concern based on its existing funding, taking into account the Company’s current cash position and the projected cash flows based on the activities under execution on the basis of ProQR’s business plan and budget. The uncertainties and assumptions used are disclosed in Note 4. As a result, we continue to adopt the going concern basis of accounting in preparing the interim condensed consolidated financial statements.</w:t>
      </w:r>
    </w:p>
    <w:p>
      <w:pPr>
        <w:spacing w:after="0" w:line="181" w:lineRule="exact"/>
        <w:rPr>
          <w:sz w:val="20"/>
          <w:szCs w:val="20"/>
          <w:color w:val="auto"/>
        </w:rPr>
      </w:pPr>
    </w:p>
    <w:p>
      <w:pPr>
        <w:jc w:val="both"/>
        <w:ind w:left="60" w:right="79"/>
        <w:spacing w:after="0" w:line="280" w:lineRule="auto"/>
        <w:rPr>
          <w:sz w:val="20"/>
          <w:szCs w:val="20"/>
          <w:color w:val="auto"/>
        </w:rPr>
      </w:pPr>
      <w:r>
        <w:rPr>
          <w:rFonts w:ascii="Times New Roman" w:cs="Times New Roman" w:eastAsia="Times New Roman" w:hAnsi="Times New Roman"/>
          <w:sz w:val="16"/>
          <w:szCs w:val="16"/>
          <w:color w:val="auto"/>
        </w:rPr>
        <w:t>The carrying amount of all financial assets and financial liabilities is a reasonable approximation of the fair value and therefore, information about the fair values of each class has not been disclosed.</w:t>
      </w:r>
    </w:p>
    <w:p>
      <w:pPr>
        <w:spacing w:after="0" w:line="165" w:lineRule="exact"/>
        <w:rPr>
          <w:sz w:val="20"/>
          <w:szCs w:val="20"/>
          <w:color w:val="auto"/>
        </w:rPr>
      </w:pPr>
    </w:p>
    <w:p>
      <w:pPr>
        <w:jc w:val="both"/>
        <w:ind w:left="60" w:right="59"/>
        <w:spacing w:after="0" w:line="298" w:lineRule="auto"/>
        <w:rPr>
          <w:sz w:val="20"/>
          <w:szCs w:val="20"/>
          <w:color w:val="auto"/>
        </w:rPr>
      </w:pPr>
      <w:r>
        <w:rPr>
          <w:rFonts w:ascii="Times New Roman" w:cs="Times New Roman" w:eastAsia="Times New Roman" w:hAnsi="Times New Roman"/>
          <w:sz w:val="16"/>
          <w:szCs w:val="16"/>
          <w:color w:val="auto"/>
        </w:rPr>
        <w:t>The Company operates in one reportable segment, which comprises the discovery and development of innovative, RNA based therapeutics.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3. Adoption of New and Revised International Financial Reporting Standards</w:t>
      </w:r>
    </w:p>
    <w:p>
      <w:pPr>
        <w:spacing w:after="0" w:line="223"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6"/>
          <w:szCs w:val="16"/>
          <w:color w:val="auto"/>
        </w:rPr>
        <w:t>New Standards and Interpretations, which became effective as of January 1, 2026, did not have a material impact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473710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7</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4. Critical Accounting Estimates and Judgements</w:t>
      </w:r>
    </w:p>
    <w:p>
      <w:pPr>
        <w:spacing w:after="0" w:line="223"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6"/>
          <w:szCs w:val="16"/>
          <w:color w:val="auto"/>
        </w:rPr>
        <w:t>In the application of the Company’s accounting policies, management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71"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92" w:lineRule="exact"/>
        <w:rPr>
          <w:sz w:val="20"/>
          <w:szCs w:val="20"/>
          <w:color w:val="auto"/>
        </w:rPr>
      </w:pPr>
    </w:p>
    <w:p>
      <w:pPr>
        <w:jc w:val="both"/>
        <w:ind w:left="60" w:right="79"/>
        <w:spacing w:after="0" w:line="280" w:lineRule="auto"/>
        <w:rPr>
          <w:sz w:val="20"/>
          <w:szCs w:val="20"/>
          <w:color w:val="auto"/>
        </w:rPr>
      </w:pPr>
      <w:r>
        <w:rPr>
          <w:rFonts w:ascii="Times New Roman" w:cs="Times New Roman" w:eastAsia="Times New Roman" w:hAnsi="Times New Roman"/>
          <w:sz w:val="16"/>
          <w:szCs w:val="16"/>
          <w:color w:val="auto"/>
        </w:rPr>
        <w:t>The significant judgements made by management in applying the Company’s accounting policies and the key sources of estimation uncertainty were the same as those described in the Company’s annual financial statements for the year ended December 31, 2025.</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(i) Revenue recognition for the Eli Lilly and Company research and collaboration agreement</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 Identification of the performance obligations</w:t>
      </w:r>
    </w:p>
    <w:p>
      <w:pPr>
        <w:spacing w:after="0" w:line="235"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6"/>
          <w:szCs w:val="16"/>
          <w:color w:val="auto"/>
        </w:rPr>
        <w:t>As further described in Note 13 the identification of the performance obligations for the Company’s original research and collaboration agreement with Eli Lilly and Company (“Lilly”), and the amended and restated research and collaboration agreement (collectively, the “Collaboration agreement”) involves significant judgement.</w:t>
      </w:r>
    </w:p>
    <w:p>
      <w:pPr>
        <w:spacing w:after="0" w:line="178"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A key judgement was made in determining that the license granted to Lilly is not distinct from the associated research and development (“R&amp;D”) services, due to the lack of stand-alone value of the license without the Company’s involvement and the significant interdependencies between the license and the R&amp;D services to be provided by the Company. As a result, the license and the R&amp;D services are accounted for together as a single combined performance obligation consisting of multiple activities that are not distinct.</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 Determining the timing of satisfaction of performance obligations</w:t>
      </w:r>
    </w:p>
    <w:p>
      <w:pPr>
        <w:spacing w:after="0" w:line="22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6"/>
          <w:szCs w:val="16"/>
          <w:color w:val="auto"/>
        </w:rPr>
        <w:t>As further described in Note 13, before the handover of a compound to Lilly, the Company recognizes revenue over time, using an input method that estimates the satisfaction of the performance obligation as the percentage of labor hours incurred compared to the total estimated labor hours required to complete the promised services. As the Company’s estimate of the total labor hours required is dependent on the evolution of the research and development activities, it may be subject to change. If the progression and/or outcome of certain research and development activities would be different from the assumptions that were made during the preparation of these financial statements, this could lead to material adjustments to the total estimated labor hours, which might result in a reallocation of revenue between current and future periods. Our total deferred revenue balance related to this Lilly performance obligation amounts to</w:t>
      </w:r>
    </w:p>
    <w:p>
      <w:pPr>
        <w:ind w:left="60" w:right="4499" w:hanging="10"/>
        <w:spacing w:after="0" w:line="523" w:lineRule="auto"/>
        <w:tabs>
          <w:tab w:leader="none" w:pos="1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36,914,000 at March 31, 2026 (December 31, 2025: € 38,946,000). c. Determining the transaction price</w:t>
      </w:r>
    </w:p>
    <w:p>
      <w:pPr>
        <w:jc w:val="both"/>
        <w:ind w:left="60" w:right="59"/>
        <w:spacing w:after="0" w:line="260" w:lineRule="auto"/>
        <w:rPr>
          <w:sz w:val="20"/>
          <w:szCs w:val="20"/>
          <w:color w:val="auto"/>
        </w:rPr>
      </w:pPr>
      <w:r>
        <w:rPr>
          <w:rFonts w:ascii="Times New Roman" w:cs="Times New Roman" w:eastAsia="Times New Roman" w:hAnsi="Times New Roman"/>
          <w:sz w:val="16"/>
          <w:szCs w:val="16"/>
          <w:color w:val="auto"/>
        </w:rPr>
        <w:t>The Company applied judgement to determine whether the equity investments made by Lilly in ProQR are part of the transaction price for the Collaboration agreement. The Company concluded that the differences between the prices that Lilly paid for the shares and the ProQR stock closing prices on the days of entering into the equity investment agreements arose because of the Company’s existing obligations to deliver research and development services to Lilly under the terms of the Collaboration agreement. Therefore, the above differences between the closing share prices on the agreement effective dates and the equity investment prices paid by Lilly are considered to be part of the transaction price of the contract and are initially allocated to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474980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8</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The contract also includes variable consideration, but no variable consideration was included in the initial transaction price at the inception, as it was not highly probable that a significant reversal in the amount of cumulative revenue recognized would not occur. The Company includes such variable consideration in the transaction price when the uncertainty associated with the variable consideration is resolved.</w:t>
      </w:r>
    </w:p>
    <w:p>
      <w:pPr>
        <w:spacing w:after="0" w:line="179"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The Collaboration agreement includes variable consideration in the form of development milestones, commercial milestones, and sales-based royalties based on the level of sales. As further described in Note 13, during 2026, the Company achieved development milestones during the ProQR research program under the agreement, which were added to the transaction price and recognized partially as revenue during 2026 based on the status of completion (satisfied part) of the single combined performance obligation.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(ii) Research and development expenditures</w:t>
      </w:r>
    </w:p>
    <w:p>
      <w:pPr>
        <w:spacing w:after="0" w:line="223"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Research expenditures are reflected in the income statement. Development expenses are currently also reflected in the income statement because the criteria for capitalization are not met. Research and development costs are recognized as an expense when incurred and are typically made up of clinical and preclinical activities including costs for contract research organizations and clinical investigative sites.</w:t>
      </w:r>
    </w:p>
    <w:p>
      <w:pPr>
        <w:spacing w:after="0" w:line="17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Costs for certain development activities, such as clinical trials, are recognized based on an evaluation of the progress to completion of specific tasks using data such as information provided by vendors on their actual costs incurred. At each balance sheet date, the Company estimates the level of service performed by the vendors and the associated costs incurred for the services performed.</w:t>
      </w:r>
    </w:p>
    <w:p>
      <w:pPr>
        <w:spacing w:after="0" w:line="177"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Although the Company does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(iii) Going concern</w:t>
      </w:r>
    </w:p>
    <w:p>
      <w:pPr>
        <w:spacing w:after="0" w:line="223"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The preparation of the interim condensed consolidated financial statements on a going concern basis requires management to make significant judgements about the Company’s ability to continue as a going concern. In making this judgement, management has prepared cash flow forecasts covering a period of at least twelve months from the date of issuance of these financial statements. These forecasts are based on assumptions regarding the timing and progress of the Company’s research and development activities and related expenditures. Changes in these assumptions could have a material impact on the Company’s ability to continue as a going concern.</w:t>
      </w:r>
    </w:p>
    <w:p>
      <w:pPr>
        <w:spacing w:after="0" w:line="186"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6"/>
          <w:szCs w:val="16"/>
          <w:color w:val="auto"/>
        </w:rPr>
        <w:t>Additionally, the Company’s current cash position is sensitive to potential delays in clinical trials and increases in development costs, which could affect the timing of cash outflows. While the Company has historically been able to raise additional funding, its ability to do so remains subject to market conditions. As at March 31, 2026, the Company had cash and cash equivalents of €81.1 million, which provides sufficient resources to continue operating activities for at least the twelve-month period following the issuance of these condensed consolidated financial statements. Based on the assessment performed, management has concluded that the use of the going concern basis of accounting is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9</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5. Cash and Cash Equivalents</w:t>
      </w:r>
    </w:p>
    <w:p>
      <w:pPr>
        <w:spacing w:after="0" w:line="22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6"/>
          <w:szCs w:val="16"/>
          <w:color w:val="auto"/>
        </w:rPr>
        <w:t>At March 31, 2026, the Company’s cash and cash equivalents were € 81,088,000 compared to € 92,413,000 at December 31, 2025. The cash balances are held at banks with investment grade credit ratings. Short-term credit ratings must be rated A-1/P-1/F1 at a minimum by at least one of the Nationally Recognized Statistical Rating Organizations (“NRSROs”) specifically Moody’s, Standard &amp; Poor’s or Fitch. The cash at banks is at full disposal of the Company. Included in cash and cash equivalents are deposits fixed for at most 3-month periods at a time and money market funds which are invested in short-term government backed instruments with maturities up to three months at inception and are readily convertible to cash.</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6. 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158750</wp:posOffset>
            </wp:positionV>
            <wp:extent cx="56489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6340" w:type="dxa"/>
            <w:vAlign w:val="bottom"/>
            <w:tcBorders>
              <w:bottom w:val="single" w:sz="8" w:color="464646"/>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6"/>
                <w:szCs w:val="16"/>
                <w:color w:val="auto"/>
              </w:rPr>
            </w:pPr>
          </w:p>
        </w:tc>
        <w:tc>
          <w:tcPr>
            <w:tcW w:w="106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r>
      <w:tr>
        <w:trPr>
          <w:trHeight w:val="183"/>
        </w:trPr>
        <w:tc>
          <w:tcPr>
            <w:tcW w:w="6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Collaboration receivables</w:t>
            </w:r>
          </w:p>
        </w:tc>
        <w:tc>
          <w:tcPr>
            <w:tcW w:w="20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3,358</w:t>
            </w:r>
          </w:p>
        </w:tc>
      </w:tr>
      <w:tr>
        <w:trPr>
          <w:trHeight w:val="18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Prepayments</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w:t>
            </w:r>
          </w:p>
        </w:tc>
      </w:tr>
      <w:tr>
        <w:trPr>
          <w:trHeight w:val="18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262626"/>
              </w:rPr>
              <w:t>Accrued income from Rett Syndrome Research Trust</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83"/>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262626"/>
              </w:rPr>
              <w:t>Other receivables</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189"/>
        </w:trPr>
        <w:tc>
          <w:tcPr>
            <w:tcW w:w="6540" w:type="dxa"/>
            <w:vAlign w:val="bottom"/>
            <w:tcBorders>
              <w:bottom w:val="single" w:sz="8" w:color="22A49B"/>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4,404</w:t>
            </w:r>
          </w:p>
        </w:tc>
        <w:tc>
          <w:tcPr>
            <w:tcW w:w="200" w:type="dxa"/>
            <w:vAlign w:val="bottom"/>
            <w:tcBorders>
              <w:bottom w:val="single" w:sz="8" w:color="22A49B"/>
            </w:tcBorders>
          </w:tcPr>
          <w:p>
            <w:pPr>
              <w:spacing w:after="0"/>
              <w:rPr>
                <w:sz w:val="16"/>
                <w:szCs w:val="16"/>
                <w:color w:val="auto"/>
              </w:rPr>
            </w:pPr>
          </w:p>
        </w:tc>
        <w:tc>
          <w:tcPr>
            <w:tcW w:w="106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6,800</w:t>
            </w:r>
          </w:p>
        </w:tc>
      </w:tr>
    </w:tbl>
    <w:p>
      <w:pPr>
        <w:spacing w:after="0" w:line="229"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6"/>
          <w:szCs w:val="16"/>
          <w:color w:val="auto"/>
        </w:rPr>
        <w:t>All receivables are considered short-term and due within one year. At March 31, 2026 and December 31, 2025 collaboration receivables consisted of amounts receivable from Lilly. At March 31, 2026 and December 31, 2025 prepayments consisted principally of payments made by the Company for services not yet provided by vendors. At March 31, 2026 and December 31, 2025 other receivables consisted principally of accrued grant income and deposits. As at March 31, 2026 and December 31, 2025 the accrued grant income relating to Rett Syndrome Research Trust (“RSRT”) includes the initial fair value of the warrants issued to RSRT that was accounted for as a reduction of the transaction price. The RSRT agreement is described in Note 14. Other Income.</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7. Property, Plant and Equipment</w:t>
      </w:r>
    </w:p>
    <w:p>
      <w:pPr>
        <w:spacing w:after="0" w:line="264"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6"/>
          <w:szCs w:val="16"/>
          <w:color w:val="auto"/>
        </w:rPr>
        <w:t>At March 31, 2026 and December 31, 2025, property plant and equipment consisted of buildings and leasehold improvements, laboratory equipment and other assets. Buildings and leasehold improvements include a right-of-use asset relating to the lease of our Leiden office and laboratory space, with a carrying amount of € 9,540,000 at March 31, 2026 (December 31, 2025: € 9,994,000).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8. Other Current Liabilities</w:t>
      </w:r>
    </w:p>
    <w:p>
      <w:pPr>
        <w:spacing w:after="0" w:line="264"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6"/>
          <w:szCs w:val="16"/>
          <w:color w:val="auto"/>
        </w:rPr>
        <w:t>At March 31, 2026 other current liabilities amount to € 8,421,000 (December 31, 2025: € 7,940,000). At March 31, 2026 and December 31, 2025, other current liabilities consisted principally of accruals for services provided by vendors not yet billed, payroll related accruals and other miscellaneous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10</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9.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158750</wp:posOffset>
            </wp:positionV>
            <wp:extent cx="56921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Innovation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-95885</wp:posOffset>
            </wp:positionV>
            <wp:extent cx="4003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00304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-224155</wp:posOffset>
            </wp:positionV>
            <wp:extent cx="4003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Accrued interest on innovation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32385</wp:posOffset>
            </wp:positionV>
            <wp:extent cx="4003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00304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-95885</wp:posOffset>
            </wp:positionV>
            <wp:extent cx="4003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-94615</wp:posOffset>
            </wp:positionV>
            <wp:extent cx="40030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-95885</wp:posOffset>
            </wp:positionV>
            <wp:extent cx="40030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-94615</wp:posOffset>
            </wp:positionV>
            <wp:extent cx="40030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003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FFFFFF"/>
              </w:rPr>
              <w: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36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60" w:type="dxa"/>
            <w:vAlign w:val="bottom"/>
            <w:tcBorders>
              <w:top w:val="single" w:sz="8" w:color="464646"/>
              <w:bottom w:val="single" w:sz="8" w:color="auto"/>
            </w:tcBorders>
          </w:tcPr>
          <w:p>
            <w:pPr>
              <w:spacing w:after="0"/>
              <w:rPr>
                <w:sz w:val="15"/>
                <w:szCs w:val="15"/>
                <w:color w:val="auto"/>
              </w:rPr>
            </w:pPr>
          </w:p>
        </w:tc>
        <w:tc>
          <w:tcPr>
            <w:tcW w:w="920" w:type="dxa"/>
            <w:vAlign w:val="bottom"/>
            <w:tcBorders>
              <w:top w:val="single" w:sz="8" w:color="464646"/>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262626"/>
              </w:rPr>
              <w:t>€1,000</w:t>
            </w:r>
          </w:p>
        </w:tc>
        <w:tc>
          <w:tcPr>
            <w:tcW w:w="140" w:type="dxa"/>
            <w:vAlign w:val="bottom"/>
          </w:tcPr>
          <w:p>
            <w:pPr>
              <w:spacing w:after="0"/>
              <w:rPr>
                <w:sz w:val="15"/>
                <w:szCs w:val="15"/>
                <w:color w:val="auto"/>
              </w:rPr>
            </w:pPr>
          </w:p>
        </w:tc>
        <w:tc>
          <w:tcPr>
            <w:tcW w:w="1160" w:type="dxa"/>
            <w:vAlign w:val="bottom"/>
            <w:tcBorders>
              <w:top w:val="single" w:sz="8" w:color="464646"/>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262626"/>
              </w:rPr>
              <w:t>€1,000</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120015</wp:posOffset>
            </wp:positionV>
            <wp:extent cx="15773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98"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4,945</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4,872</w:t>
            </w:r>
          </w:p>
        </w:tc>
      </w:tr>
      <w:tr>
        <w:trPr>
          <w:trHeight w:val="18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w:t>
            </w:r>
          </w:p>
        </w:tc>
      </w:tr>
      <w:tr>
        <w:trPr>
          <w:trHeight w:val="20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-4049395</wp:posOffset>
            </wp:positionH>
            <wp:positionV relativeFrom="paragraph">
              <wp:posOffset>-10160</wp:posOffset>
            </wp:positionV>
            <wp:extent cx="56921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2619"/>
          </w:cols>
          <w:pgMar w:left="1440" w:top="512" w:right="1440" w:bottom="1440" w:gutter="0" w:footer="0" w:header="0"/>
          <w:type w:val="continuous"/>
        </w:sectPr>
      </w:pPr>
    </w:p>
    <w:p>
      <w:pPr>
        <w:spacing w:after="0" w:line="53"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6"/>
          <w:szCs w:val="16"/>
          <w:color w:val="auto"/>
        </w:rPr>
        <w:t>In December 2018, ProQR was awarded an Innovation credit for the sepofarsen program. Amounts were drawn under this facility from 2018 through 2022. The credit of € 3,907,000 was used to conduct the Phase 2/3 clinical study and efforts to obtain regulatory and ethical market approval (New Drug Applications / Marketing Authorization Applications) of sepofarsen for LCA10. In the fourth quarter of 2023, ProQR made a partial repayment of the principal, amounting to € 1,008,000. The remaining amount payable of € 2,899,000 is recognized under current borrowings as at March 31, 2026 and December 31, 2025.</w:t>
      </w:r>
    </w:p>
    <w:p>
      <w:pPr>
        <w:spacing w:after="0" w:line="182" w:lineRule="exact"/>
        <w:rPr>
          <w:sz w:val="20"/>
          <w:szCs w:val="20"/>
          <w:color w:val="auto"/>
        </w:rPr>
      </w:pPr>
    </w:p>
    <w:p>
      <w:pPr>
        <w:jc w:val="both"/>
        <w:ind w:left="60" w:right="79"/>
        <w:spacing w:after="0" w:line="263" w:lineRule="auto"/>
        <w:rPr>
          <w:sz w:val="20"/>
          <w:szCs w:val="20"/>
          <w:color w:val="auto"/>
        </w:rPr>
      </w:pPr>
      <w:r>
        <w:rPr>
          <w:rFonts w:ascii="Times New Roman" w:cs="Times New Roman" w:eastAsia="Times New Roman" w:hAnsi="Times New Roman"/>
          <w:sz w:val="16"/>
          <w:szCs w:val="16"/>
          <w:color w:val="auto"/>
        </w:rPr>
        <w:t>In December 2023, ProQR received a waiver to postpone repayment for the remaining balance of the Innovation credit including accrued interest. As a result, the repayment of the total loan of € 4,292,000, including accrued interest, could be waived if conditions are met, subject to annual review. In December 2025, the waiver for the principal and interest was again extended until December 31, 2026.</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6"/>
          <w:szCs w:val="16"/>
          <w:color w:val="auto"/>
        </w:rPr>
        <w:t>In September 2022, ProQR extinguished its debt with Pontifax and Kreos by repaying all outstanding principal amounts. However, the Pontifax’ and Kreos’ warrants, classified as derivative financial instruments on the balance sheet, remain in place until their five-year economic life expires in 2025 and 2026. These warrants are accounted for as embedded derivatives and were recognized separately from the host contract as derivative financial liabilities at fair value through profit or loss. The warrants as part of the original loan agreement expired during 2025 and were derecognized. The warrants as part of the subsequent loan agreement remain in place until the economic life expires in December 2026.</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10. Lease Liabilities</w:t>
      </w:r>
    </w:p>
    <w:p>
      <w:pPr>
        <w:spacing w:after="0" w:line="237" w:lineRule="exact"/>
        <w:rPr>
          <w:sz w:val="20"/>
          <w:szCs w:val="20"/>
          <w:color w:val="auto"/>
        </w:rPr>
      </w:pPr>
    </w:p>
    <w:p>
      <w:pPr>
        <w:jc w:val="both"/>
        <w:ind w:left="60" w:right="79"/>
        <w:spacing w:after="0" w:line="280" w:lineRule="auto"/>
        <w:rPr>
          <w:sz w:val="20"/>
          <w:szCs w:val="20"/>
          <w:color w:val="auto"/>
        </w:rPr>
      </w:pPr>
      <w:r>
        <w:rPr>
          <w:rFonts w:ascii="Times New Roman" w:cs="Times New Roman" w:eastAsia="Times New Roman" w:hAnsi="Times New Roman"/>
          <w:sz w:val="16"/>
          <w:szCs w:val="16"/>
          <w:color w:val="auto"/>
        </w:rPr>
        <w:t>At March 31, 2026 and December 31, 2025, lease liabilities primarily consisted of the Company’s lease of office and laboratory facilities at Zernikedreef in Leiden, the Netherlands.</w:t>
      </w:r>
    </w:p>
    <w:p>
      <w:pPr>
        <w:spacing w:after="0" w:line="165"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The Company leases office and laboratory facilities of 4,818 square meters at Zernikedreef in Leiden, the Netherlands, where our headquarters and our laboratories are located. The current lease agreement for these facilities terminates on June 30, 2031. The lease agreement contains no significant dismantling requirements.</w:t>
      </w:r>
    </w:p>
    <w:p>
      <w:pPr>
        <w:spacing w:after="0" w:line="171"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The initial 10-year lease agreement for the Leiden office and laboratory facilities was accounted for as of commencement date July 1, 2020. This 10-year period was extended by 1 year to an 11-year period in December 2020. The lease contract may be extended for subsequent 5-year periods. As the Company is not reasonably certain to exercise these extension options, these are not included in the lease term.</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carrying amount of the right-of-use asset is disclosed in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500380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11</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11. Deferred Income</w:t>
      </w:r>
    </w:p>
    <w:p>
      <w:pPr>
        <w:spacing w:after="0" w:line="223" w:lineRule="exact"/>
        <w:rPr>
          <w:sz w:val="20"/>
          <w:szCs w:val="20"/>
          <w:color w:val="auto"/>
        </w:rPr>
      </w:pPr>
    </w:p>
    <w:p>
      <w:pPr>
        <w:ind w:left="60" w:right="559"/>
        <w:spacing w:after="0" w:line="298" w:lineRule="auto"/>
        <w:rPr>
          <w:sz w:val="20"/>
          <w:szCs w:val="20"/>
          <w:color w:val="auto"/>
        </w:rPr>
      </w:pPr>
      <w:r>
        <w:rPr>
          <w:rFonts w:ascii="Times New Roman" w:cs="Times New Roman" w:eastAsia="Times New Roman" w:hAnsi="Times New Roman"/>
          <w:sz w:val="16"/>
          <w:szCs w:val="16"/>
          <w:color w:val="auto"/>
        </w:rPr>
        <w:t>The following table summarizes details of deferred income at March 31, 2026 and December 31, 2025. The nature of the deferred income is described in Note 13 and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121285</wp:posOffset>
            </wp:positionV>
            <wp:extent cx="5648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Payments from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40201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201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-224155</wp:posOffset>
            </wp:positionV>
            <wp:extent cx="40201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201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-353060</wp:posOffset>
            </wp:positionV>
            <wp:extent cx="40201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Payments from Rett Syndrome Research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40201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wp:posOffset>
            </wp:positionV>
            <wp:extent cx="40201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2018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40201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Payments from 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40201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Non-current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161925</wp:posOffset>
            </wp:positionV>
            <wp:extent cx="40201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33655</wp:posOffset>
            </wp:positionV>
            <wp:extent cx="40201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-94615</wp:posOffset>
            </wp:positionV>
            <wp:extent cx="40201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7620</wp:posOffset>
            </wp:positionV>
            <wp:extent cx="6940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262626"/>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136525</wp:posOffset>
            </wp:positionV>
            <wp:extent cx="6940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7620</wp:posOffset>
            </wp:positionV>
            <wp:extent cx="6940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6350</wp:posOffset>
            </wp:positionV>
            <wp:extent cx="6940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6350</wp:posOffset>
            </wp:positionV>
            <wp:extent cx="6940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19,607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136525</wp:posOffset>
            </wp:positionV>
            <wp:extent cx="6940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7620</wp:posOffset>
            </wp:positionV>
            <wp:extent cx="6940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6350</wp:posOffset>
            </wp:positionV>
            <wp:extent cx="6940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17,307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136525</wp:posOffset>
            </wp:positionV>
            <wp:extent cx="6940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055" cy="8890"/>
                    </a:xfrm>
                    <a:prstGeom prst="rect">
                      <a:avLst/>
                    </a:prstGeom>
                    <a:noFill/>
                  </pic:spPr>
                </pic:pic>
              </a:graphicData>
            </a:graphic>
          </wp:anchor>
        </w:drawing>
        <w:drawing>
          <wp:anchor simplePos="0" relativeHeight="251657728" behindDoc="1" locked="0" layoutInCell="0" allowOverlap="1">
            <wp:simplePos x="0" y="0"/>
            <wp:positionH relativeFrom="column">
              <wp:posOffset>-238760</wp:posOffset>
            </wp:positionH>
            <wp:positionV relativeFrom="paragraph">
              <wp:posOffset>7620</wp:posOffset>
            </wp:positionV>
            <wp:extent cx="6940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right"/>
        <w:ind w:right="119"/>
        <w:spacing w:after="0" w:line="301" w:lineRule="auto"/>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-17145</wp:posOffset>
            </wp:positionV>
            <wp:extent cx="6775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jc w:val="right"/>
        <w:ind w:right="119"/>
        <w:spacing w:after="0"/>
        <w:rPr>
          <w:sz w:val="20"/>
          <w:szCs w:val="20"/>
          <w:color w:val="auto"/>
        </w:rPr>
      </w:pPr>
      <w:r>
        <w:rPr>
          <w:rFonts w:ascii="Times New Roman" w:cs="Times New Roman" w:eastAsia="Times New Roman" w:hAnsi="Times New Roman"/>
          <w:sz w:val="14"/>
          <w:szCs w:val="14"/>
          <w:i w:val="1"/>
          <w:iCs w:val="1"/>
          <w:color w:val="262626"/>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136525</wp:posOffset>
            </wp:positionV>
            <wp:extent cx="677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7620</wp:posOffset>
            </wp:positionV>
            <wp:extent cx="677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17,552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677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2"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677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0"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17,552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136525</wp:posOffset>
            </wp:positionV>
            <wp:extent cx="6775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7620</wp:posOffset>
            </wp:positionV>
            <wp:extent cx="677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26"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color w:val="auto"/>
        </w:rPr>
        <w:t>21,394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6350</wp:posOffset>
            </wp:positionV>
            <wp:extent cx="6775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21,394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136525</wp:posOffset>
            </wp:positionV>
            <wp:extent cx="6775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7620</wp:posOffset>
            </wp:positionV>
            <wp:extent cx="677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40" w:space="720"/>
            <w:col w:w="680" w:space="400"/>
            <w:col w:w="979"/>
          </w:cols>
          <w:pgMar w:left="1440" w:top="512" w:right="1440" w:bottom="1440" w:gutter="0" w:footer="0" w:header="0"/>
          <w:type w:val="continuous"/>
        </w:sectPr>
      </w:pP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60" w:type="dxa"/>
            <w:vAlign w:val="bottom"/>
            <w:tcBorders>
              <w:bottom w:val="single" w:sz="8" w:color="22A49B"/>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w:t>
            </w:r>
          </w:p>
        </w:tc>
        <w:tc>
          <w:tcPr>
            <w:tcW w:w="4260" w:type="dxa"/>
            <w:vAlign w:val="bottom"/>
            <w:tcBorders>
              <w:bottom w:val="single" w:sz="8" w:color="22A49B"/>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262626"/>
              </w:rPr>
              <w:t>36,914</w:t>
            </w:r>
          </w:p>
        </w:tc>
        <w:tc>
          <w:tcPr>
            <w:tcW w:w="88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38,946</w:t>
            </w:r>
          </w:p>
        </w:tc>
      </w:tr>
    </w:tbl>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12. Shareholders’ Equity</w:t>
      </w:r>
    </w:p>
    <w:p>
      <w:pPr>
        <w:spacing w:after="0" w:line="223" w:lineRule="exact"/>
        <w:rPr>
          <w:sz w:val="20"/>
          <w:szCs w:val="20"/>
          <w:color w:val="auto"/>
        </w:rPr>
      </w:pPr>
    </w:p>
    <w:p>
      <w:pPr>
        <w:jc w:val="both"/>
        <w:ind w:left="60" w:right="59"/>
        <w:spacing w:after="0" w:line="275" w:lineRule="auto"/>
        <w:rPr>
          <w:sz w:val="20"/>
          <w:szCs w:val="20"/>
          <w:color w:val="auto"/>
        </w:rPr>
      </w:pPr>
      <w:r>
        <w:rPr>
          <w:rFonts w:ascii="Times New Roman" w:cs="Times New Roman" w:eastAsia="Times New Roman" w:hAnsi="Times New Roman"/>
          <w:sz w:val="16"/>
          <w:szCs w:val="16"/>
          <w:color w:val="auto"/>
        </w:rPr>
        <w:t>The authorized share capital of the Company amounting to € 13,600,000 consists of 170,000,000 ordinary shares and 170,000,000 preference shares with a par value of € 0.04 per share. At March 31, 2026, 107,710,916 ordinary shares were issued, which is comprised of 105,362,551 ordinary shares fully paid and outstanding as well as 2,348,365 ordinary shares held by the Company as treasury shares (December 31, 2025: 2,349,852). These treasury shares are issued and not outstanding.</w:t>
      </w:r>
    </w:p>
    <w:p>
      <w:pPr>
        <w:spacing w:after="0" w:line="183"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6"/>
          <w:szCs w:val="16"/>
          <w:color w:val="auto"/>
        </w:rPr>
        <w:t>In September 2024, the Company filed a shelf registration statement on Form F-3, which permitted: (a) the offering, issuance and sale by the Company of up to a maximum aggregate offering price of $ 300,000,000 of its ordinary shares, warrants and/or units; and (b) as part of the $ 300,000,000, the offering, issuance and sale by the Company of up to a maximum aggregate offering price of $ 75,000,000 of its ordinary shares that may be issued and sold under a sales agreement (the “sales agreement”) with Cantor Fitzgerald &amp; Co. (“Cantor”) in one or more at-the-market (“ATM”) offerings. The Company will pay Cantor a commission equal to 3% of the gross proceeds of the sales price of all ordinary shares sold through it as sales agent under the sale agreement. As of March 31, 2026 no shares have been issued pursuant to this ATM facility.</w:t>
      </w:r>
    </w:p>
    <w:p>
      <w:pPr>
        <w:spacing w:after="0" w:line="190"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6"/>
          <w:szCs w:val="16"/>
          <w:color w:val="auto"/>
        </w:rPr>
        <w:t>In October 2024, the Company consummated an underwritten public offering of 18,000,000 ordinary shares (the “offering”) at a public offering price of $ 3.50 per share (the “public offering price”). In addition, the Company granted the underwriters a 30-day option to purchase up to 2,700,000 additional ordinary shares at the public offering price, less underwriting discounts and commissions. The option was partially exercised on October 31, 2024, resulting in the issuance of 1,940,072 shares. The gross proceeds from the Offering and subsequent partial exercise of the underwriters’ option, amounted to $ 69,790,000 (€ 64,600,000) while the transaction costs amounted to approximately € 4,365,000, resulting in net proceeds of approximately € 60,235,000.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477520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12</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6"/>
          <w:szCs w:val="16"/>
          <w:color w:val="auto"/>
        </w:rPr>
        <w:t>Concurrently with the Offering, the Company entered into a share purchase agreement with Lilly in a separately negotiated transaction (the “concurrent private placement”), pursuant to which the Company agreed to offer and sell, and Lilly agreed to purchase, 3,523,538 ordinary shares at a price per share equal to the public offering price, for total gross proceeds of approximately $ 12,300,000, subject to a purchase price cap of $ 15,000,000, the consummation of the Offering and the satisfaction of other customary closing conditions. The proceeds of $ 12,300,000 (€ 11,400,000) from the concurrent private placement were received on October 25, 2024. The ordinary shares purchased in the concurrent private placement are not subject to any underwriting discounts or commissions.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Translation reserve</w:t>
      </w:r>
    </w:p>
    <w:p>
      <w:pPr>
        <w:spacing w:after="0" w:line="237" w:lineRule="exact"/>
        <w:rPr>
          <w:sz w:val="20"/>
          <w:szCs w:val="20"/>
          <w:color w:val="auto"/>
        </w:rPr>
      </w:pPr>
    </w:p>
    <w:p>
      <w:pPr>
        <w:jc w:val="both"/>
        <w:ind w:left="60" w:right="59"/>
        <w:spacing w:after="0" w:line="298" w:lineRule="auto"/>
        <w:rPr>
          <w:sz w:val="20"/>
          <w:szCs w:val="20"/>
          <w:color w:val="auto"/>
        </w:rPr>
      </w:pPr>
      <w:r>
        <w:rPr>
          <w:rFonts w:ascii="Times New Roman" w:cs="Times New Roman" w:eastAsia="Times New Roman" w:hAnsi="Times New Roman"/>
          <w:sz w:val="16"/>
          <w:szCs w:val="16"/>
          <w:color w:val="auto"/>
        </w:rPr>
        <w:t>The translation reserve comprises all foreign currency differences arising from the translation of the financial statements of foreign operations.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Share options</w:t>
      </w:r>
    </w:p>
    <w:p>
      <w:pPr>
        <w:spacing w:after="0" w:line="237"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6"/>
          <w:szCs w:val="16"/>
          <w:color w:val="auto"/>
        </w:rPr>
        <w:t>The Company operates an equity-settled share-based compensation plan, which was introduced in 2013. Options and Restricted Stock Units (“RSUs”) may be granted to employees, members of the Board and consultants. The compensation expenses included in operating costs for this plan in the three month period ended March 31, 2026 were € 1,428,000 (three month period ended March 31, 2025:</w:t>
      </w:r>
    </w:p>
    <w:p>
      <w:pPr>
        <w:spacing w:after="0" w:line="2" w:lineRule="exact"/>
        <w:rPr>
          <w:sz w:val="20"/>
          <w:szCs w:val="20"/>
          <w:color w:val="auto"/>
        </w:rPr>
      </w:pPr>
    </w:p>
    <w:p>
      <w:pPr>
        <w:ind w:left="200" w:hanging="150"/>
        <w:spacing w:after="0"/>
        <w:tabs>
          <w:tab w:leader="none" w:pos="2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758,000), of which € 1,038,000 was recorded in general and administrative costs (three month period ended March 31, 2025:</w:t>
      </w:r>
    </w:p>
    <w:p>
      <w:pPr>
        <w:spacing w:after="0" w:line="15" w:lineRule="exact"/>
        <w:rPr>
          <w:rFonts w:ascii="Times New Roman" w:cs="Times New Roman" w:eastAsia="Times New Roman" w:hAnsi="Times New Roman"/>
          <w:sz w:val="16"/>
          <w:szCs w:val="16"/>
          <w:color w:val="auto"/>
        </w:rPr>
      </w:pPr>
    </w:p>
    <w:p>
      <w:pPr>
        <w:ind w:left="180" w:hanging="130"/>
        <w:spacing w:after="0"/>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566,000) and € 390,000 was recorded in research and development costs (three month period ended March 31, 2025: € 192,000).</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13. Revenue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Eli Lilly and Company collaboration</w:t>
      </w:r>
    </w:p>
    <w:p>
      <w:pPr>
        <w:spacing w:after="0" w:line="23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6"/>
          <w:szCs w:val="16"/>
          <w:color w:val="auto"/>
        </w:rPr>
        <w:t>In September 2021, the Company entered into a global licensing and research collaboration with Lilly focused on the discovery, development, and commercialization of potential new medicines for genetic disorders in the liver and nervous system. ProQR and Lilly will use ProQR’s proprietary Axiomer</w:t>
      </w:r>
      <w:r>
        <w:rPr>
          <w:rFonts w:ascii="Arial" w:cs="Arial" w:eastAsia="Arial" w:hAnsi="Arial"/>
          <w:sz w:val="19"/>
          <w:szCs w:val="19"/>
          <w:color w:val="auto"/>
        </w:rPr>
        <w:t>™</w:t>
      </w:r>
      <w:r>
        <w:rPr>
          <w:rFonts w:ascii="Times New Roman" w:cs="Times New Roman" w:eastAsia="Times New Roman" w:hAnsi="Times New Roman"/>
          <w:sz w:val="16"/>
          <w:szCs w:val="16"/>
          <w:color w:val="auto"/>
        </w:rPr>
        <w:t xml:space="preserve"> RNA editing platform to progress new drug targets toward clinical development and commercialization.</w:t>
      </w:r>
    </w:p>
    <w:p>
      <w:pPr>
        <w:spacing w:after="0" w:line="18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6"/>
          <w:szCs w:val="16"/>
          <w:color w:val="auto"/>
        </w:rPr>
        <w:t>Under the terms of the agreement, ProQR received an upfront payment and equity consideration, and is eligible to receive milestone payments and royalties on the net sales of any resulting products. In September 2021, the Company issued 3,989,976 shares to Lilly, resulting in gross proceeds of $ 30,000,000 (€ 25,270,000). These shares were issued at a premium of $ 2,429,000 (€ 2,047,000), which was determined to be part of the transaction price and as such was initially recognized as deferred revenue. An up-front payment of $ 20,000,000 (€ 16,849,000) was received in October 2021.</w:t>
      </w:r>
    </w:p>
    <w:p>
      <w:pPr>
        <w:spacing w:after="0" w:line="182"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In December 2022, the Company and Lilly amended their research and collaboration agreement described above, which expanded the collaboration. Under the amended and restated research and collaboration agreement, Lilly will gain access to additional targets in the central nervous system and peripheral nervous system with ProQR’s Axiomer platform.</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6"/>
          <w:szCs w:val="16"/>
          <w:color w:val="auto"/>
        </w:rPr>
        <w:t>As described under Note 12, pursuant to the amended and restated agreement, the Company issued 9,381,586 shares to Lilly in December 2022, resulting in gross proceeds of $ 15,000,000 (€ 14,122,000). These shares were issued at a discount of $ 480,000 (€ 451,000), which is accounted for as a reduction of the transaction price. In February 2023, ProQR also received an upfront payment of</w:t>
      </w:r>
    </w:p>
    <w:tbl>
      <w:tblPr>
        <w:tblLayout w:type="fixed"/>
        <w:tblInd w:w="40" w:type="dxa"/>
        <w:tblCellMar>
          <w:top w:w="0" w:type="dxa"/>
          <w:left w:w="0" w:type="dxa"/>
          <w:bottom w:w="0" w:type="dxa"/>
          <w:right w:w="0" w:type="dxa"/>
        </w:tblCellMar>
      </w:tblPr>
      <w:tr>
        <w:trPr>
          <w:trHeight w:val="183"/>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60,000,000 (€</w:t>
            </w:r>
          </w:p>
        </w:tc>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56,412,000). Lilly has the ability to exercise an option to further expand the partnership for a consideration of</w:t>
            </w: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50,000,000.</w:t>
            </w:r>
          </w:p>
        </w:tc>
        <w:tc>
          <w:tcPr>
            <w:tcW w:w="7780" w:type="dxa"/>
            <w:vAlign w:val="bottom"/>
          </w:tcPr>
          <w:p>
            <w:pPr>
              <w:spacing w:after="0"/>
              <w:rPr>
                <w:sz w:val="18"/>
                <w:szCs w:val="18"/>
                <w:color w:val="auto"/>
              </w:rPr>
            </w:pPr>
          </w:p>
        </w:tc>
      </w:tr>
      <w:tr>
        <w:trPr>
          <w:trHeight w:val="783"/>
        </w:trPr>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13</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6"/>
          <w:szCs w:val="16"/>
          <w:color w:val="auto"/>
        </w:rPr>
        <w:t>With regard to the original and amended and restated research and collaboration agreements with Lilly, the Company concluded as follows:</w:t>
      </w:r>
    </w:p>
    <w:p>
      <w:pPr>
        <w:spacing w:after="0" w:line="165" w:lineRule="exact"/>
        <w:rPr>
          <w:sz w:val="20"/>
          <w:szCs w:val="20"/>
          <w:color w:val="auto"/>
        </w:rPr>
      </w:pPr>
    </w:p>
    <w:p>
      <w:pPr>
        <w:ind w:left="920" w:right="79" w:hanging="870"/>
        <w:spacing w:after="0" w:line="298" w:lineRule="auto"/>
        <w:tabs>
          <w:tab w:leader="none" w:pos="920" w:val="left"/>
        </w:tabs>
        <w:numPr>
          <w:ilvl w:val="0"/>
          <w:numId w:val="17"/>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The amended and restated research and collaboration agreement is accounted for as a separate contract under IFRS 15 given the group of promises to be delivered are distinct and are priced commensurate with stand-alone selling prices.</w:t>
      </w:r>
    </w:p>
    <w:p>
      <w:pPr>
        <w:spacing w:after="0" w:line="150" w:lineRule="exact"/>
        <w:rPr>
          <w:rFonts w:ascii="Times New Roman" w:cs="Times New Roman" w:eastAsia="Times New Roman" w:hAnsi="Times New Roman"/>
          <w:sz w:val="16"/>
          <w:szCs w:val="16"/>
          <w:color w:val="00AAA1"/>
        </w:rPr>
      </w:pPr>
    </w:p>
    <w:p>
      <w:pPr>
        <w:jc w:val="both"/>
        <w:ind w:left="920" w:right="79" w:hanging="870"/>
        <w:spacing w:after="0" w:line="260" w:lineRule="auto"/>
        <w:tabs>
          <w:tab w:leader="none" w:pos="920" w:val="left"/>
        </w:tabs>
        <w:numPr>
          <w:ilvl w:val="0"/>
          <w:numId w:val="17"/>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For each of the agreements, the company identified one performance obligation under IFRS 15, for the transfer of a license combined with the performance of research and development activities. The Company concluded that the license is not capable of being distinct and is not distinct in the context of the contract. ProQR’s services are evaluated as predominant at inception of the contract and the compounds resulting from the collaboration do not represent a series of distinct promises because they were not predetermined at the inception of the contract and can be terminated or replaced at the discretion of Lilly subject to the terms and conditions of the Collaboration agreement.</w:t>
      </w:r>
    </w:p>
    <w:p>
      <w:pPr>
        <w:spacing w:after="0" w:line="181" w:lineRule="exact"/>
        <w:rPr>
          <w:rFonts w:ascii="Times New Roman" w:cs="Times New Roman" w:eastAsia="Times New Roman" w:hAnsi="Times New Roman"/>
          <w:sz w:val="16"/>
          <w:szCs w:val="16"/>
          <w:color w:val="00AAA1"/>
        </w:rPr>
      </w:pPr>
    </w:p>
    <w:p>
      <w:pPr>
        <w:jc w:val="both"/>
        <w:ind w:left="920" w:right="79" w:hanging="870"/>
        <w:spacing w:after="0" w:line="256" w:lineRule="auto"/>
        <w:tabs>
          <w:tab w:leader="none" w:pos="920" w:val="left"/>
        </w:tabs>
        <w:numPr>
          <w:ilvl w:val="0"/>
          <w:numId w:val="17"/>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The transaction price of the agreement includes fixed components, consisting of an up-front fee and an equity component (premium or discount). The agreement also contains variable parts, notably milestones, which are included in the transaction price to the extent that it is highly probable that a significant reversal in the amount of cumulative revenue recognized will not occur when the uncertainty associated with the variable consideration is subsequently resolved. Development milestone payments to be reached during the ProQR research program will only be included to the extent that it is highly probable that a significant reversal in the amount of cumulative revenue recognized will not occur when the uncertainty associated with the milestones is subsequently resolved. Sales-based milestones and sales-based royalties will be included as the underlying sales occur.</w:t>
      </w:r>
    </w:p>
    <w:p>
      <w:pPr>
        <w:spacing w:after="0" w:line="184" w:lineRule="exact"/>
        <w:rPr>
          <w:rFonts w:ascii="Times New Roman" w:cs="Times New Roman" w:eastAsia="Times New Roman" w:hAnsi="Times New Roman"/>
          <w:sz w:val="16"/>
          <w:szCs w:val="16"/>
          <w:color w:val="00AAA1"/>
        </w:rPr>
      </w:pPr>
    </w:p>
    <w:p>
      <w:pPr>
        <w:jc w:val="both"/>
        <w:ind w:left="920" w:right="79" w:hanging="870"/>
        <w:spacing w:after="0" w:line="272" w:lineRule="auto"/>
        <w:tabs>
          <w:tab w:leader="none" w:pos="920" w:val="left"/>
        </w:tabs>
        <w:numPr>
          <w:ilvl w:val="0"/>
          <w:numId w:val="17"/>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Initially, the Company recognizes revenue over time, using an input method that estimates the satisfaction of the performance obligation as the percentage of labor hours incurred compared to the total estimated labor hours required to complete the promised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After the handover of a compound to Lilly:</w:t>
      </w:r>
    </w:p>
    <w:p>
      <w:pPr>
        <w:spacing w:after="0" w:line="235" w:lineRule="exact"/>
        <w:rPr>
          <w:sz w:val="20"/>
          <w:szCs w:val="20"/>
          <w:color w:val="auto"/>
        </w:rPr>
      </w:pPr>
    </w:p>
    <w:p>
      <w:pPr>
        <w:jc w:val="both"/>
        <w:ind w:left="920" w:right="79" w:hanging="870"/>
        <w:spacing w:after="0" w:line="258" w:lineRule="auto"/>
        <w:tabs>
          <w:tab w:leader="none" w:pos="920" w:val="left"/>
        </w:tabs>
        <w:numPr>
          <w:ilvl w:val="0"/>
          <w:numId w:val="18"/>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The variable consideration for development milestones to be reached during the Lilly R&amp;D activities is linked to a separable right to use the license which comes into existence for each successful compound transferred to Lilly. This license is a separate performance obligation and revenue will be recognized at a point in time when the development milestone for a license is achieved and the variable constraint is resolved.</w:t>
      </w:r>
    </w:p>
    <w:p>
      <w:pPr>
        <w:spacing w:after="0" w:line="194" w:lineRule="exact"/>
        <w:rPr>
          <w:rFonts w:ascii="Times New Roman" w:cs="Times New Roman" w:eastAsia="Times New Roman" w:hAnsi="Times New Roman"/>
          <w:sz w:val="16"/>
          <w:szCs w:val="16"/>
          <w:color w:val="00AAA1"/>
        </w:rPr>
      </w:pPr>
    </w:p>
    <w:p>
      <w:pPr>
        <w:jc w:val="both"/>
        <w:ind w:left="920" w:right="79" w:hanging="870"/>
        <w:spacing w:after="0" w:line="260" w:lineRule="auto"/>
        <w:tabs>
          <w:tab w:leader="none" w:pos="920" w:val="left"/>
        </w:tabs>
        <w:numPr>
          <w:ilvl w:val="0"/>
          <w:numId w:val="18"/>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The variable consideration for commercial milestones is linked to a separable right to use the license which comes into existence for each successful compound transferred to Lilly. This license is a separate performance obligation and will be recognized at a point in time when the commercial milestone for a license is achieved and the variable constraint is resolved.</w:t>
      </w:r>
    </w:p>
    <w:p>
      <w:pPr>
        <w:spacing w:after="0" w:line="387" w:lineRule="exact"/>
        <w:rPr>
          <w:rFonts w:ascii="Times New Roman" w:cs="Times New Roman" w:eastAsia="Times New Roman" w:hAnsi="Times New Roman"/>
          <w:sz w:val="16"/>
          <w:szCs w:val="16"/>
          <w:color w:val="00AAA1"/>
        </w:rPr>
      </w:pPr>
    </w:p>
    <w:p>
      <w:pPr>
        <w:jc w:val="both"/>
        <w:ind w:left="920" w:right="79" w:hanging="870"/>
        <w:spacing w:after="0" w:line="263" w:lineRule="auto"/>
        <w:tabs>
          <w:tab w:leader="none" w:pos="920" w:val="left"/>
        </w:tabs>
        <w:numPr>
          <w:ilvl w:val="0"/>
          <w:numId w:val="18"/>
        </w:numPr>
        <w:rPr>
          <w:rFonts w:ascii="Times New Roman" w:cs="Times New Roman" w:eastAsia="Times New Roman" w:hAnsi="Times New Roman"/>
          <w:sz w:val="16"/>
          <w:szCs w:val="16"/>
          <w:color w:val="00AAA1"/>
        </w:rPr>
      </w:pPr>
      <w:r>
        <w:rPr>
          <w:rFonts w:ascii="Times New Roman" w:cs="Times New Roman" w:eastAsia="Times New Roman" w:hAnsi="Times New Roman"/>
          <w:sz w:val="16"/>
          <w:szCs w:val="16"/>
          <w:color w:val="auto"/>
        </w:rPr>
        <w:t>For sales-based royalties, the license is the predominant item to which the royalty relates. The sales-based royalties will be recognized after the handover of the compound to Lilly (after completion of the initial performance obligation) and once the respective sale level occurs.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During the three month period ended March 31, 2026 the Company did not reach any milestones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500380</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14</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14.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158750</wp:posOffset>
            </wp:positionV>
            <wp:extent cx="56489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 period</w:t>
            </w:r>
          </w:p>
        </w:tc>
        <w:tc>
          <w:tcPr>
            <w:tcW w:w="0" w:type="dxa"/>
            <w:vAlign w:val="bottom"/>
          </w:tcPr>
          <w:p>
            <w:pPr>
              <w:spacing w:after="0"/>
              <w:rPr>
                <w:sz w:val="1"/>
                <w:szCs w:val="1"/>
                <w:color w:val="auto"/>
              </w:rPr>
            </w:pPr>
          </w:p>
        </w:tc>
      </w:tr>
      <w:tr>
        <w:trPr>
          <w:trHeight w:val="186"/>
        </w:trPr>
        <w:tc>
          <w:tcPr>
            <w:tcW w:w="6240" w:type="dxa"/>
            <w:vAlign w:val="bottom"/>
            <w:tcBorders>
              <w:bottom w:val="single" w:sz="8" w:color="464646"/>
            </w:tcBorders>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Borders>
              <w:bottom w:val="single" w:sz="8" w:color="464646"/>
            </w:tcBorders>
          </w:tcPr>
          <w:p>
            <w:pPr>
              <w:spacing w:after="0"/>
              <w:rPr>
                <w:sz w:val="16"/>
                <w:szCs w:val="16"/>
                <w:color w:val="auto"/>
              </w:rPr>
            </w:pPr>
          </w:p>
        </w:tc>
        <w:tc>
          <w:tcPr>
            <w:tcW w:w="780" w:type="dxa"/>
            <w:vAlign w:val="bottom"/>
            <w:tcBorders>
              <w:bottom w:val="single" w:sz="8" w:color="464646"/>
            </w:tcBorders>
          </w:tcPr>
          <w:p>
            <w:pPr>
              <w:spacing w:after="0"/>
              <w:rPr>
                <w:sz w:val="16"/>
                <w:szCs w:val="16"/>
                <w:color w:val="auto"/>
              </w:rPr>
            </w:pPr>
          </w:p>
        </w:tc>
        <w:tc>
          <w:tcPr>
            <w:tcW w:w="40" w:type="dxa"/>
            <w:vAlign w:val="bottom"/>
            <w:tcBorders>
              <w:bottom w:val="single" w:sz="8" w:color="464646"/>
            </w:tcBorders>
          </w:tcPr>
          <w:p>
            <w:pPr>
              <w:spacing w:after="0"/>
              <w:rPr>
                <w:sz w:val="16"/>
                <w:szCs w:val="16"/>
                <w:color w:val="auto"/>
              </w:rPr>
            </w:pPr>
          </w:p>
        </w:tc>
        <w:tc>
          <w:tcPr>
            <w:tcW w:w="100" w:type="dxa"/>
            <w:vAlign w:val="bottom"/>
            <w:tcBorders>
              <w:bottom w:val="single" w:sz="8" w:color="464646"/>
            </w:tcBorders>
          </w:tcPr>
          <w:p>
            <w:pPr>
              <w:spacing w:after="0"/>
              <w:rPr>
                <w:sz w:val="16"/>
                <w:szCs w:val="16"/>
                <w:color w:val="auto"/>
              </w:rPr>
            </w:pPr>
          </w:p>
        </w:tc>
        <w:tc>
          <w:tcPr>
            <w:tcW w:w="11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56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6"/>
                <w:szCs w:val="16"/>
                <w:b w:val="1"/>
                <w:bCs w:val="1"/>
                <w:color w:val="FFFFFF"/>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3"/>
        </w:trPr>
        <w:tc>
          <w:tcPr>
            <w:tcW w:w="624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top w:val="single" w:sz="8" w:color="464646"/>
              <w:bottom w:val="single" w:sz="8" w:color="auto"/>
            </w:tcBorders>
          </w:tcPr>
          <w:p>
            <w:pPr>
              <w:spacing w:after="0"/>
              <w:rPr>
                <w:sz w:val="15"/>
                <w:szCs w:val="15"/>
                <w:color w:val="auto"/>
              </w:rPr>
            </w:pPr>
          </w:p>
        </w:tc>
        <w:tc>
          <w:tcPr>
            <w:tcW w:w="780" w:type="dxa"/>
            <w:vAlign w:val="bottom"/>
            <w:tcBorders>
              <w:top w:val="single" w:sz="8" w:color="464646"/>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262626"/>
              </w:rPr>
              <w:t>€1,000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464646"/>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262626"/>
              </w:rPr>
              <w:t>€1,000</w:t>
            </w:r>
          </w:p>
        </w:tc>
        <w:tc>
          <w:tcPr>
            <w:tcW w:w="0" w:type="dxa"/>
            <w:vAlign w:val="bottom"/>
          </w:tcPr>
          <w:p>
            <w:pPr>
              <w:spacing w:after="0"/>
              <w:rPr>
                <w:sz w:val="1"/>
                <w:szCs w:val="1"/>
                <w:color w:val="auto"/>
              </w:rPr>
            </w:pPr>
          </w:p>
        </w:tc>
      </w:tr>
      <w:tr>
        <w:trPr>
          <w:trHeight w:val="183"/>
        </w:trPr>
        <w:tc>
          <w:tcPr>
            <w:tcW w:w="6240" w:type="dxa"/>
            <w:vAlign w:val="bottom"/>
            <w:tcBorders>
              <w:bottom w:val="single" w:sz="8" w:color="auto"/>
            </w:tcBorders>
          </w:tcPr>
          <w:p>
            <w:pPr>
              <w:spacing w:after="0"/>
              <w:rPr>
                <w:sz w:val="15"/>
                <w:szCs w:val="15"/>
                <w:color w:val="auto"/>
              </w:rPr>
            </w:pPr>
          </w:p>
        </w:tc>
        <w:tc>
          <w:tcPr>
            <w:tcW w:w="160" w:type="dxa"/>
            <w:vAlign w:val="bottom"/>
            <w:vMerge w:val="restart"/>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262626"/>
              </w:rPr>
              <w:t>Grant income</w:t>
            </w:r>
          </w:p>
        </w:tc>
        <w:tc>
          <w:tcPr>
            <w:tcW w:w="16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90"/>
        </w:trPr>
        <w:tc>
          <w:tcPr>
            <w:tcW w:w="6240" w:type="dxa"/>
            <w:vAlign w:val="bottom"/>
            <w:tcBorders>
              <w:bottom w:val="single" w:sz="8" w:color="22A49B"/>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22A49B"/>
            </w:tcBorders>
          </w:tcPr>
          <w:p>
            <w:pPr>
              <w:spacing w:after="0"/>
              <w:rPr>
                <w:sz w:val="16"/>
                <w:szCs w:val="16"/>
                <w:color w:val="auto"/>
              </w:rPr>
            </w:pPr>
          </w:p>
        </w:tc>
        <w:tc>
          <w:tcPr>
            <w:tcW w:w="400" w:type="dxa"/>
            <w:vAlign w:val="bottom"/>
            <w:tcBorders>
              <w:bottom w:val="single" w:sz="8" w:color="22A49B"/>
            </w:tcBorders>
          </w:tcPr>
          <w:p>
            <w:pPr>
              <w:spacing w:after="0"/>
              <w:rPr>
                <w:sz w:val="16"/>
                <w:szCs w:val="16"/>
                <w:color w:val="auto"/>
              </w:rPr>
            </w:pPr>
          </w:p>
        </w:tc>
        <w:tc>
          <w:tcPr>
            <w:tcW w:w="820" w:type="dxa"/>
            <w:vAlign w:val="bottom"/>
            <w:tcBorders>
              <w:bottom w:val="single" w:sz="8" w:color="22A49B"/>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22A49B"/>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262626"/>
              </w:rPr>
              <w:t>222</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6"/>
          <w:szCs w:val="16"/>
          <w:color w:val="auto"/>
        </w:rPr>
        <w:t>In January, 2024, the Company entered into an agreement with the RSRT that focuses on the design and development of editing oligonucleotides using the Company’s Axiomer technology platform targeting the transcription factor Methyl CpG binding protein 2 and correcting mutations of interest. Under the agreement, RSRT awarded the Company up to € 1,015,000 as a research grant for the initial phase of the project that was received during 2024. Of this grant € 222,000 was recognized as other income during the three month period ended March 31, 2025 and the balance. As at December 31, 2025 work under this agreement has been completed. Therefore, the remaining other income related to this agreement was recognized in 2025.</w:t>
      </w:r>
    </w:p>
    <w:p>
      <w:pPr>
        <w:spacing w:after="0" w:line="18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In December 2024, the Company expanded partnership with RSRT to include an additional $ 8,150,000 in funding from the RSRT to support the advancement of the selected candidates into clinical trials. As at March 31, 2026 no amounts have been received under this agreement and the work has not yet commenced.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Grants are recognized in other income in the same period in which the related R&amp;D costs are recognized.</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15. Research and Development Costs</w:t>
      </w:r>
    </w:p>
    <w:p>
      <w:pPr>
        <w:spacing w:after="0" w:line="223"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6"/>
          <w:szCs w:val="16"/>
          <w:color w:val="auto"/>
        </w:rPr>
        <w:t>Research and development costs amount to € 11,830,000 for the three month period ended March 31, 2026 (three month period ended March 31, 2025: € 12,323,000) and are comprised of allocated employee costs including share-based payments, the costs of materials and laboratory consumables, outsourced activities, license and intellectual property costs and other allocated costs. Research and development costs decreased compared to the same period in the prior year, mainly due to lower external manufacturing and external research costs.</w:t>
      </w:r>
    </w:p>
    <w:p>
      <w:pPr>
        <w:spacing w:after="0" w:line="3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16. General and Administrative Costs</w:t>
      </w:r>
    </w:p>
    <w:p>
      <w:pPr>
        <w:spacing w:after="0" w:line="237" w:lineRule="exact"/>
        <w:rPr>
          <w:sz w:val="20"/>
          <w:szCs w:val="20"/>
          <w:color w:val="auto"/>
        </w:rPr>
      </w:pPr>
    </w:p>
    <w:p>
      <w:pPr>
        <w:jc w:val="both"/>
        <w:ind w:left="60" w:right="79"/>
        <w:spacing w:after="0" w:line="280" w:lineRule="auto"/>
        <w:rPr>
          <w:sz w:val="20"/>
          <w:szCs w:val="20"/>
          <w:color w:val="auto"/>
        </w:rPr>
      </w:pPr>
      <w:r>
        <w:rPr>
          <w:rFonts w:ascii="Times New Roman" w:cs="Times New Roman" w:eastAsia="Times New Roman" w:hAnsi="Times New Roman"/>
          <w:sz w:val="16"/>
          <w:szCs w:val="16"/>
          <w:color w:val="auto"/>
        </w:rPr>
        <w:t>General and administrative costs amount to € 3,852,000 for the three month period ended March 31, 2026 (three month period ended March 31, 2025: € 3,234,000).</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17. Investments in Financial Assets</w:t>
      </w:r>
    </w:p>
    <w:p>
      <w:pPr>
        <w:spacing w:after="0" w:line="237" w:lineRule="exact"/>
        <w:rPr>
          <w:sz w:val="20"/>
          <w:szCs w:val="20"/>
          <w:color w:val="auto"/>
        </w:rPr>
      </w:pPr>
    </w:p>
    <w:p>
      <w:pPr>
        <w:jc w:val="both"/>
        <w:ind w:left="60" w:right="59"/>
        <w:spacing w:after="0" w:line="280" w:lineRule="auto"/>
        <w:rPr>
          <w:sz w:val="20"/>
          <w:szCs w:val="20"/>
          <w:color w:val="auto"/>
        </w:rPr>
      </w:pPr>
      <w:r>
        <w:rPr>
          <w:rFonts w:ascii="Times New Roman" w:cs="Times New Roman" w:eastAsia="Times New Roman" w:hAnsi="Times New Roman"/>
          <w:sz w:val="16"/>
          <w:szCs w:val="16"/>
          <w:color w:val="auto"/>
        </w:rPr>
        <w:t>Investment in financial assets consist of the Company’s investment in Kamal Therapeutics Inc. (“Kamal”) and Yarrow Biotechnology Inc. (“Yarrow”).</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ProQR holds a 0.2% interest in Kamal. As at March 31, 2026, the investment amounts to € nil (December 31, 2025: € nil).</w:t>
      </w:r>
    </w:p>
    <w:p>
      <w:pPr>
        <w:spacing w:after="0" w:line="221" w:lineRule="exact"/>
        <w:rPr>
          <w:sz w:val="20"/>
          <w:szCs w:val="20"/>
          <w:color w:val="auto"/>
        </w:rPr>
      </w:pPr>
    </w:p>
    <w:p>
      <w:pPr>
        <w:jc w:val="both"/>
        <w:ind w:left="60" w:right="59"/>
        <w:spacing w:after="0" w:line="298" w:lineRule="auto"/>
        <w:rPr>
          <w:sz w:val="20"/>
          <w:szCs w:val="20"/>
          <w:color w:val="auto"/>
        </w:rPr>
      </w:pPr>
      <w:r>
        <w:rPr>
          <w:rFonts w:ascii="Times New Roman" w:cs="Times New Roman" w:eastAsia="Times New Roman" w:hAnsi="Times New Roman"/>
          <w:sz w:val="16"/>
          <w:szCs w:val="16"/>
          <w:color w:val="auto"/>
        </w:rPr>
        <w:t>ProQR holds a 3.6% interest in Yarrow. As at March 31, 2026, the fair value of the Yarrow financial asset amounted to € nil (December 31, 2025: €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455930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00AAA1"/>
        </w:rPr>
        <w:t>PAGE 15</w:t>
      </w:r>
    </w:p>
    <w:p>
      <w:pPr>
        <w:spacing w:after="0" w:line="100" w:lineRule="exact"/>
        <w:rPr>
          <w:sz w:val="20"/>
          <w:szCs w:val="20"/>
          <w:color w:val="auto"/>
        </w:rPr>
      </w:pPr>
    </w:p>
    <w:p>
      <w:pPr>
        <w:jc w:val="right"/>
        <w:ind w:right="59"/>
        <w:spacing w:after="0"/>
        <w:rPr>
          <w:sz w:val="20"/>
          <w:szCs w:val="20"/>
          <w:color w:val="auto"/>
        </w:rPr>
      </w:pPr>
      <w:r>
        <w:rPr>
          <w:rFonts w:ascii="Arial" w:cs="Arial" w:eastAsia="Arial" w:hAnsi="Arial"/>
          <w:sz w:val="16"/>
          <w:szCs w:val="16"/>
          <w:color w:val="auto"/>
        </w:rPr>
        <w:t>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18. Income Taxes</w:t>
      </w:r>
    </w:p>
    <w:p>
      <w:pPr>
        <w:spacing w:after="0" w:line="223"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The current income tax liability amounts to € nil at March 31, 2026 (December 31, 2025: € nil). No significant temporary differences exist between accounting and tax results. Realization of deferred tax assets is dependent on future earnings, if any, the timing and amount of which are uncertain. Accordingly, the Company has not yet recognized any deferred tax asset related to operating losses.</w:t>
      </w:r>
    </w:p>
    <w:p>
      <w:pPr>
        <w:spacing w:after="0" w:line="171"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6"/>
          <w:szCs w:val="16"/>
          <w:color w:val="auto"/>
        </w:rPr>
        <w:t>From January 1, 2022, tax losses in the Netherlands may be carried forward indefinitely. However, the offset of losses will be limited in a given year against the first € 1 million of taxable profit. For taxable profit in excess of this amount, losses may only be offset up to 50% of this excess. In addition, unused non-deductible interest expenses may be carried forward indefinitely. However, the offset will be limited in a given year against the higher of 20% of adjusted taxable profit or € 1.0 million of interest income.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19. Related-Party Transactions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Company does not have any transactions with related parties other than compensation to its Board members.</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20. Events After Balance Sheet Date</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500380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7540"/>
        <w:spacing w:after="0"/>
        <w:rPr>
          <w:sz w:val="20"/>
          <w:szCs w:val="20"/>
          <w:color w:val="auto"/>
        </w:rPr>
      </w:pPr>
      <w:r>
        <w:rPr>
          <w:rFonts w:ascii="Arial" w:cs="Arial" w:eastAsia="Arial" w:hAnsi="Arial"/>
          <w:sz w:val="19"/>
          <w:szCs w:val="19"/>
          <w:b w:val="1"/>
          <w:bCs w:val="1"/>
          <w:color w:val="auto"/>
        </w:rPr>
        <w:t>Exhibit 99.2</w:t>
      </w:r>
    </w:p>
    <w:p>
      <w:pPr>
        <w:spacing w:after="0" w:line="288" w:lineRule="exact"/>
        <w:rPr>
          <w:sz w:val="20"/>
          <w:szCs w:val="20"/>
          <w:color w:val="auto"/>
        </w:rPr>
      </w:pPr>
    </w:p>
    <w:p>
      <w:pPr>
        <w:ind w:left="60" w:right="579"/>
        <w:spacing w:after="0" w:line="277" w:lineRule="auto"/>
        <w:rPr>
          <w:sz w:val="20"/>
          <w:szCs w:val="20"/>
          <w:color w:val="auto"/>
        </w:rPr>
      </w:pPr>
      <w:r>
        <w:rPr>
          <w:rFonts w:ascii="Times New Roman" w:cs="Times New Roman" w:eastAsia="Times New Roman" w:hAnsi="Times New Roman"/>
          <w:sz w:val="43"/>
          <w:szCs w:val="43"/>
          <w:color w:val="23A49B"/>
        </w:rPr>
        <w:t>ProQR Announces First Quarter 2026 Operating and Financial Results</w:t>
      </w:r>
    </w:p>
    <w:p>
      <w:pPr>
        <w:spacing w:after="0" w:line="391" w:lineRule="exact"/>
        <w:rPr>
          <w:sz w:val="20"/>
          <w:szCs w:val="20"/>
          <w:color w:val="auto"/>
        </w:rPr>
      </w:pPr>
    </w:p>
    <w:p>
      <w:pPr>
        <w:ind w:left="380" w:right="519" w:hanging="330"/>
        <w:spacing w:after="0" w:line="250" w:lineRule="auto"/>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AX-0810 target engagement data in healthy volunteers on track for Q2 2026; biliary atresia selected as initial Phase 2 indication</w:t>
      </w:r>
    </w:p>
    <w:p>
      <w:pPr>
        <w:spacing w:after="0" w:line="1" w:lineRule="exact"/>
        <w:rPr>
          <w:rFonts w:ascii="Times New Roman" w:cs="Times New Roman" w:eastAsia="Times New Roman" w:hAnsi="Times New Roman"/>
          <w:sz w:val="20"/>
          <w:szCs w:val="20"/>
          <w:color w:val="auto"/>
        </w:rPr>
      </w:pPr>
    </w:p>
    <w:p>
      <w:pPr>
        <w:ind w:left="380" w:right="719" w:hanging="330"/>
        <w:spacing w:after="0" w:line="239" w:lineRule="auto"/>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Pipeline expansion with advancement of AX-0811 (NTCP) and AX-0422 (IDUA) toward the clinic, supporting multiple upcoming clinical catalysts</w:t>
      </w:r>
    </w:p>
    <w:p>
      <w:pPr>
        <w:ind w:left="380" w:right="479" w:hanging="330"/>
        <w:spacing w:after="0" w:line="243" w:lineRule="auto"/>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advancement of Axiomer platform, including AI-enabled discovery capabilities, partnership with Ginkgo Bioworks, and formation of AI Advisory Board</w:t>
      </w:r>
    </w:p>
    <w:p>
      <w:pPr>
        <w:ind w:left="380" w:hanging="330"/>
        <w:spacing w:after="0"/>
        <w:tabs>
          <w:tab w:leader="none" w:pos="3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Q1 2026 with € 81.1 million cash and cash equivalents, supporting runway into mid-2027</w:t>
      </w:r>
    </w:p>
    <w:p>
      <w:pPr>
        <w:spacing w:after="0" w:line="254" w:lineRule="exact"/>
        <w:rPr>
          <w:sz w:val="20"/>
          <w:szCs w:val="20"/>
          <w:color w:val="auto"/>
        </w:rPr>
      </w:pPr>
    </w:p>
    <w:p>
      <w:pPr>
        <w:ind w:left="60" w:right="459"/>
        <w:spacing w:after="0" w:line="249" w:lineRule="auto"/>
        <w:rPr>
          <w:sz w:val="20"/>
          <w:szCs w:val="20"/>
          <w:color w:val="auto"/>
        </w:rPr>
      </w:pPr>
      <w:r>
        <w:rPr>
          <w:rFonts w:ascii="Times New Roman" w:cs="Times New Roman" w:eastAsia="Times New Roman" w:hAnsi="Times New Roman"/>
          <w:sz w:val="20"/>
          <w:szCs w:val="20"/>
          <w:color w:val="auto"/>
        </w:rPr>
        <w:t>LEIDEN, Netherlands &amp; CAMBRIDGE, Mass., May 12, 2026 – ProQR Therapeutics N.V. (Nasdaq: PRQR) (ProQR), a clinical-stage company dedicated to changing lives through transformative RNA therapies based on its proprietary Axiomer™ RNA editing technology platform, today reported its financial and operating results for the quarter ended March 31, 2026, and provided a business update.</w:t>
      </w:r>
    </w:p>
    <w:p>
      <w:pPr>
        <w:spacing w:after="0" w:line="180" w:lineRule="exact"/>
        <w:rPr>
          <w:sz w:val="20"/>
          <w:szCs w:val="20"/>
          <w:color w:val="auto"/>
        </w:rPr>
      </w:pPr>
    </w:p>
    <w:p>
      <w:pPr>
        <w:ind w:left="60" w:right="459"/>
        <w:spacing w:after="0" w:line="244" w:lineRule="auto"/>
        <w:rPr>
          <w:sz w:val="20"/>
          <w:szCs w:val="20"/>
          <w:color w:val="auto"/>
        </w:rPr>
      </w:pPr>
      <w:r>
        <w:rPr>
          <w:rFonts w:ascii="Times New Roman" w:cs="Times New Roman" w:eastAsia="Times New Roman" w:hAnsi="Times New Roman"/>
          <w:sz w:val="20"/>
          <w:szCs w:val="20"/>
          <w:color w:val="auto"/>
        </w:rPr>
        <w:t>“We are on track to deliver multiple clinical readouts within our current runway, including target engagement data for AX-0810 in the second quarter,” said Daniel A. de Boer, Founder and Chief Executive Officer of ProQR. “We have refined our initial development strategy for AX-0810 to prioritize biliary atresia, where we believe we can generate the most meaningful clinical data in this target patient population, while maintaining flexibility to explore additional indications, including PSC, as the program advances. We also continue to advance our platform more broadly to bring RNA editing therapies to patients.”</w:t>
      </w: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b w:val="1"/>
          <w:bCs w:val="1"/>
          <w:color w:val="333333"/>
        </w:rPr>
        <w:t>Recent Progress and Anticipated Upcoming Events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AX-0810 Advancing Toward Target Engagement Data</w:t>
      </w:r>
    </w:p>
    <w:p>
      <w:pPr>
        <w:spacing w:after="0" w:line="122" w:lineRule="exact"/>
        <w:rPr>
          <w:sz w:val="20"/>
          <w:szCs w:val="20"/>
          <w:color w:val="auto"/>
        </w:rPr>
      </w:pPr>
    </w:p>
    <w:p>
      <w:pPr>
        <w:ind w:left="60" w:right="1359"/>
        <w:spacing w:after="0" w:line="269" w:lineRule="auto"/>
        <w:rPr>
          <w:sz w:val="20"/>
          <w:szCs w:val="20"/>
          <w:color w:val="auto"/>
        </w:rPr>
      </w:pPr>
      <w:r>
        <w:rPr>
          <w:rFonts w:ascii="Times New Roman" w:cs="Times New Roman" w:eastAsia="Times New Roman" w:hAnsi="Times New Roman"/>
          <w:sz w:val="20"/>
          <w:szCs w:val="20"/>
          <w:color w:val="auto"/>
        </w:rPr>
        <w:t>AX-0810, ProQR’s lead RNA editing program targeting NTCP, remains on track to report target engagement data from healthy volunteers in the second quarter of 2026.</w:t>
      </w:r>
    </w:p>
    <w:p>
      <w:pPr>
        <w:spacing w:after="0" w:line="159" w:lineRule="exact"/>
        <w:rPr>
          <w:sz w:val="20"/>
          <w:szCs w:val="20"/>
          <w:color w:val="auto"/>
        </w:rPr>
      </w:pPr>
    </w:p>
    <w:p>
      <w:pPr>
        <w:ind w:left="60" w:right="479"/>
        <w:spacing w:after="0" w:line="249" w:lineRule="auto"/>
        <w:rPr>
          <w:sz w:val="20"/>
          <w:szCs w:val="20"/>
          <w:color w:val="auto"/>
        </w:rPr>
      </w:pPr>
      <w:r>
        <w:rPr>
          <w:rFonts w:ascii="Times New Roman" w:cs="Times New Roman" w:eastAsia="Times New Roman" w:hAnsi="Times New Roman"/>
          <w:sz w:val="20"/>
          <w:szCs w:val="20"/>
          <w:color w:val="auto"/>
        </w:rPr>
        <w:t>The Company has selected biliary atresia (BA) as the initial indication for Phase 2 development, based on strong biological rationale and high unmet need. As part of this strategy, ProQR plans to conduct an investigator-initiated trial (IIT) in pediatric participants with BA in China instead of the previously planned adult participant PSC cohort in its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334010</wp:posOffset>
            </wp:positionV>
            <wp:extent cx="54603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359" w:right="1440" w:bottom="1440" w:gutter="0" w:footer="0" w:header="0"/>
        </w:sectPr>
      </w:pPr>
    </w:p>
    <w:bookmarkStart w:id="21" w:name="page22"/>
    <w:bookmarkEnd w:id="21"/>
    <w:p>
      <w:pPr>
        <w:ind w:left="60" w:right="619"/>
        <w:spacing w:after="0" w:line="249" w:lineRule="auto"/>
        <w:rPr>
          <w:sz w:val="20"/>
          <w:szCs w:val="20"/>
          <w:color w:val="auto"/>
        </w:rPr>
      </w:pPr>
      <w:r>
        <w:rPr>
          <w:rFonts w:ascii="Times New Roman" w:cs="Times New Roman" w:eastAsia="Times New Roman" w:hAnsi="Times New Roman"/>
          <w:sz w:val="20"/>
          <w:szCs w:val="20"/>
          <w:color w:val="auto"/>
        </w:rPr>
        <w:t>1 program. While PSC remains of interest as a potential setting for broader development, the Company is prioritizing a BA-focused IIT to provide a more direct path to early, data generation in the target patient population, prior to initiation of a Phase 2 study. ProQR is working with investigators to initiate the IIT, with initial clinical data targeted for H1 2027.</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Pipeline Expansion and Upcoming Catalysts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ProQR continues to expand its pipeline, with multiple programs advancing toward the clinic:</w:t>
      </w:r>
    </w:p>
    <w:p>
      <w:pPr>
        <w:spacing w:after="0" w:line="239" w:lineRule="exact"/>
        <w:rPr>
          <w:sz w:val="20"/>
          <w:szCs w:val="20"/>
          <w:color w:val="auto"/>
        </w:rPr>
      </w:pPr>
    </w:p>
    <w:p>
      <w:pPr>
        <w:ind w:left="380" w:right="459" w:hanging="330"/>
        <w:spacing w:after="0" w:line="248"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AX-0811</w:t>
      </w:r>
      <w:r>
        <w:rPr>
          <w:rFonts w:ascii="Times New Roman" w:cs="Times New Roman" w:eastAsia="Times New Roman" w:hAnsi="Times New Roman"/>
          <w:sz w:val="20"/>
          <w:szCs w:val="20"/>
          <w:color w:val="auto"/>
        </w:rPr>
        <w:t>, a next-generation NTCP program for cholestatic diseases generated using ProQR’s AI-enabled discovery engine, with a clinical trial application (CTA) filing expected in mid-2026 and initial clinical data anticipated by year-end 2026;</w:t>
      </w:r>
    </w:p>
    <w:p>
      <w:pPr>
        <w:spacing w:after="0" w:line="1" w:lineRule="exact"/>
        <w:rPr>
          <w:rFonts w:ascii="Times New Roman" w:cs="Times New Roman" w:eastAsia="Times New Roman" w:hAnsi="Times New Roman"/>
          <w:sz w:val="20"/>
          <w:szCs w:val="20"/>
          <w:color w:val="auto"/>
        </w:rPr>
      </w:pPr>
    </w:p>
    <w:p>
      <w:pPr>
        <w:ind w:left="380" w:right="699" w:hanging="330"/>
        <w:spacing w:after="0" w:line="239"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AX-0422</w:t>
      </w:r>
      <w:r>
        <w:rPr>
          <w:rFonts w:ascii="Times New Roman" w:cs="Times New Roman" w:eastAsia="Times New Roman" w:hAnsi="Times New Roman"/>
          <w:sz w:val="20"/>
          <w:szCs w:val="20"/>
          <w:color w:val="auto"/>
        </w:rPr>
        <w:t>, targeting IDUA for Hurler syndrome, with a CTA filing expected in early 2027 and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 data targeted in the first half of 2027;</w:t>
      </w:r>
    </w:p>
    <w:p>
      <w:pPr>
        <w:ind w:left="380" w:right="679" w:hanging="330"/>
        <w:spacing w:after="0" w:line="246" w:lineRule="auto"/>
        <w:tabs>
          <w:tab w:leader="none" w:pos="3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AX-2911</w:t>
      </w:r>
      <w:r>
        <w:rPr>
          <w:rFonts w:ascii="Times New Roman" w:cs="Times New Roman" w:eastAsia="Times New Roman" w:hAnsi="Times New Roman"/>
          <w:sz w:val="20"/>
          <w:szCs w:val="20"/>
          <w:color w:val="auto"/>
        </w:rPr>
        <w:t>, targeting PNPLA3 for MASH, anticipating a first-in-human (FIH) IIT in China in the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half of 2027.</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Scientific Conference Presentations</w:t>
      </w:r>
    </w:p>
    <w:p>
      <w:pPr>
        <w:spacing w:after="0" w:line="118" w:lineRule="exact"/>
        <w:rPr>
          <w:sz w:val="20"/>
          <w:szCs w:val="20"/>
          <w:color w:val="auto"/>
        </w:rPr>
      </w:pPr>
    </w:p>
    <w:p>
      <w:pPr>
        <w:ind w:left="60" w:right="419"/>
        <w:spacing w:after="0" w:line="247" w:lineRule="auto"/>
        <w:rPr>
          <w:sz w:val="20"/>
          <w:szCs w:val="20"/>
          <w:color w:val="auto"/>
        </w:rPr>
      </w:pPr>
      <w:r>
        <w:rPr>
          <w:rFonts w:ascii="Times New Roman" w:cs="Times New Roman" w:eastAsia="Times New Roman" w:hAnsi="Times New Roman"/>
          <w:sz w:val="20"/>
          <w:szCs w:val="20"/>
          <w:color w:val="auto"/>
        </w:rPr>
        <w:t xml:space="preserve">ProQR is </w:t>
      </w:r>
      <w:r>
        <w:rPr>
          <w:rFonts w:ascii="Times New Roman" w:cs="Times New Roman" w:eastAsia="Times New Roman" w:hAnsi="Times New Roman"/>
          <w:sz w:val="20"/>
          <w:szCs w:val="20"/>
          <w:b w:val="1"/>
          <w:bCs w:val="1"/>
          <w:u w:val="single" w:color="auto"/>
          <w:color w:val="23A49B"/>
        </w:rPr>
        <w:t>presenting multiple presentations at scientific conferences in May</w:t>
      </w:r>
      <w:r>
        <w:rPr>
          <w:rFonts w:ascii="Times New Roman" w:cs="Times New Roman" w:eastAsia="Times New Roman" w:hAnsi="Times New Roman"/>
          <w:sz w:val="20"/>
          <w:szCs w:val="20"/>
          <w:color w:val="auto"/>
        </w:rPr>
        <w:t>, including TIDES USA, the American Society of Gene &amp; Cell Therapy (ASGCT) Annual Meeting, the RNA Society Annual Meeting, and the European Association for the Study of the Liver (EASL) Congress. Collectively, these presentations expand the body of evidence supporting the breadth and versatility of the Company’s Axiomer RNA editing platform including applications across multiple tissues and disease areas.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Advancing the Axiomer™ Platform</w:t>
      </w:r>
    </w:p>
    <w:p>
      <w:pPr>
        <w:spacing w:after="0" w:line="122" w:lineRule="exact"/>
        <w:rPr>
          <w:sz w:val="20"/>
          <w:szCs w:val="20"/>
          <w:color w:val="auto"/>
        </w:rPr>
      </w:pPr>
    </w:p>
    <w:p>
      <w:pPr>
        <w:ind w:left="60" w:right="819"/>
        <w:spacing w:after="0" w:line="269" w:lineRule="auto"/>
        <w:rPr>
          <w:sz w:val="20"/>
          <w:szCs w:val="20"/>
          <w:color w:val="auto"/>
        </w:rPr>
      </w:pPr>
      <w:r>
        <w:rPr>
          <w:rFonts w:ascii="Times New Roman" w:cs="Times New Roman" w:eastAsia="Times New Roman" w:hAnsi="Times New Roman"/>
          <w:sz w:val="20"/>
          <w:szCs w:val="20"/>
          <w:color w:val="auto"/>
        </w:rPr>
        <w:t>ProQR continues to enhance its Axiomer platform through the integration of AI-enabled discovery and high-throughput screening to accelerate the design and optimization of RNA editing therapeutics.</w:t>
      </w:r>
    </w:p>
    <w:p>
      <w:pPr>
        <w:spacing w:after="0" w:line="155" w:lineRule="exact"/>
        <w:rPr>
          <w:sz w:val="20"/>
          <w:szCs w:val="20"/>
          <w:color w:val="auto"/>
        </w:rPr>
      </w:pPr>
    </w:p>
    <w:p>
      <w:pPr>
        <w:ind w:left="380" w:right="519" w:hanging="330"/>
        <w:spacing w:after="0" w:line="244"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the quarter, the Company </w:t>
      </w:r>
      <w:r>
        <w:rPr>
          <w:rFonts w:ascii="Times New Roman" w:cs="Times New Roman" w:eastAsia="Times New Roman" w:hAnsi="Times New Roman"/>
          <w:sz w:val="20"/>
          <w:szCs w:val="20"/>
          <w:b w:val="1"/>
          <w:bCs w:val="1"/>
          <w:u w:val="single" w:color="auto"/>
          <w:color w:val="23A49B"/>
        </w:rPr>
        <w:t>announced a strategic partnership with Ginkgo Bioworks</w:t>
      </w:r>
      <w:r>
        <w:rPr>
          <w:rFonts w:ascii="Times New Roman" w:cs="Times New Roman" w:eastAsia="Times New Roman" w:hAnsi="Times New Roman"/>
          <w:sz w:val="20"/>
          <w:szCs w:val="20"/>
          <w:color w:val="auto"/>
        </w:rPr>
        <w:t>, providing access to Ginkgo’s autonomous laboratory infrastructure to enable high-throughput data generation. This capability is expected to increase the scale and speed of experimental data generation, supporting more efficient discovery timelines and improving predictive performance of ProQR’s AI models.</w:t>
      </w:r>
    </w:p>
    <w:p>
      <w:pPr>
        <w:spacing w:after="0" w:line="4" w:lineRule="exact"/>
        <w:rPr>
          <w:rFonts w:ascii="Times New Roman" w:cs="Times New Roman" w:eastAsia="Times New Roman" w:hAnsi="Times New Roman"/>
          <w:sz w:val="20"/>
          <w:szCs w:val="20"/>
          <w:color w:val="auto"/>
        </w:rPr>
      </w:pPr>
    </w:p>
    <w:p>
      <w:pPr>
        <w:ind w:left="380" w:right="499" w:hanging="330"/>
        <w:spacing w:after="0" w:line="241" w:lineRule="auto"/>
        <w:tabs>
          <w:tab w:leader="none" w:pos="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ProQR established an </w:t>
      </w:r>
      <w:r>
        <w:rPr>
          <w:rFonts w:ascii="Times New Roman" w:cs="Times New Roman" w:eastAsia="Times New Roman" w:hAnsi="Times New Roman"/>
          <w:sz w:val="20"/>
          <w:szCs w:val="20"/>
          <w:b w:val="1"/>
          <w:bCs w:val="1"/>
          <w:u w:val="single" w:color="auto"/>
          <w:color w:val="23A49B"/>
        </w:rPr>
        <w:t>AI Advisory Board</w:t>
      </w:r>
      <w:r>
        <w:rPr>
          <w:rFonts w:ascii="Times New Roman" w:cs="Times New Roman" w:eastAsia="Times New Roman" w:hAnsi="Times New Roman"/>
          <w:sz w:val="20"/>
          <w:szCs w:val="20"/>
          <w:color w:val="auto"/>
        </w:rPr>
        <w:t xml:space="preserve"> comprising leaders from industry and academia to support the Company’s AI strategy. The Advisory Board provides guidance on best practices, emerging technologies, and applications of AI in drug discovery, helping to further advance Axiomer-based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339725</wp:posOffset>
            </wp:positionV>
            <wp:extent cx="54603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21"/>
          <w:szCs w:val="21"/>
          <w:b w:val="1"/>
          <w:bCs w:val="1"/>
          <w:color w:val="auto"/>
        </w:rPr>
        <w:t>Board Nomination and Annual General Meeting</w:t>
      </w:r>
    </w:p>
    <w:p>
      <w:pPr>
        <w:spacing w:after="0" w:line="118" w:lineRule="exact"/>
        <w:rPr>
          <w:sz w:val="20"/>
          <w:szCs w:val="20"/>
          <w:color w:val="auto"/>
        </w:rPr>
      </w:pPr>
    </w:p>
    <w:p>
      <w:pPr>
        <w:ind w:left="60" w:right="459"/>
        <w:spacing w:after="0" w:line="247" w:lineRule="auto"/>
        <w:rPr>
          <w:sz w:val="20"/>
          <w:szCs w:val="20"/>
          <w:color w:val="auto"/>
        </w:rPr>
      </w:pPr>
      <w:r>
        <w:rPr>
          <w:rFonts w:ascii="Times New Roman" w:cs="Times New Roman" w:eastAsia="Times New Roman" w:hAnsi="Times New Roman"/>
          <w:sz w:val="20"/>
          <w:szCs w:val="20"/>
          <w:b w:val="1"/>
          <w:bCs w:val="1"/>
          <w:u w:val="single" w:color="auto"/>
          <w:color w:val="23A49B"/>
        </w:rPr>
        <w:t>Dr. Lykke Hinsch Gylvin, Chief Medical Officer and Head of Global Medicine at Boehringer Ingelheim, has been nominated for appointment</w:t>
      </w:r>
      <w:r>
        <w:rPr>
          <w:rFonts w:ascii="Times New Roman" w:cs="Times New Roman" w:eastAsia="Times New Roman" w:hAnsi="Times New Roman"/>
          <w:sz w:val="20"/>
          <w:szCs w:val="20"/>
          <w:b w:val="1"/>
          <w:bCs w:val="1"/>
          <w:color w:val="23A49B"/>
        </w:rPr>
        <w:t xml:space="preserve"> </w:t>
      </w:r>
      <w:r>
        <w:rPr>
          <w:rFonts w:ascii="Times New Roman" w:cs="Times New Roman" w:eastAsia="Times New Roman" w:hAnsi="Times New Roman"/>
          <w:sz w:val="20"/>
          <w:szCs w:val="20"/>
          <w:color w:val="000000"/>
        </w:rPr>
        <w:t>to the ProQR Board of Directors, subject to shareholder</w:t>
      </w:r>
      <w:r>
        <w:rPr>
          <w:rFonts w:ascii="Times New Roman" w:cs="Times New Roman" w:eastAsia="Times New Roman" w:hAnsi="Times New Roman"/>
          <w:sz w:val="20"/>
          <w:szCs w:val="20"/>
          <w:b w:val="1"/>
          <w:bCs w:val="1"/>
          <w:color w:val="23A49B"/>
        </w:rPr>
        <w:t xml:space="preserve"> </w:t>
      </w:r>
      <w:r>
        <w:rPr>
          <w:rFonts w:ascii="Times New Roman" w:cs="Times New Roman" w:eastAsia="Times New Roman" w:hAnsi="Times New Roman"/>
          <w:sz w:val="20"/>
          <w:szCs w:val="20"/>
          <w:color w:val="000000"/>
        </w:rPr>
        <w:t xml:space="preserve">approval at the </w:t>
      </w:r>
      <w:r>
        <w:rPr>
          <w:rFonts w:ascii="Times New Roman" w:cs="Times New Roman" w:eastAsia="Times New Roman" w:hAnsi="Times New Roman"/>
          <w:sz w:val="20"/>
          <w:szCs w:val="20"/>
          <w:b w:val="1"/>
          <w:bCs w:val="1"/>
          <w:u w:val="single" w:color="auto"/>
          <w:color w:val="23A49B"/>
        </w:rPr>
        <w:t>upcoming Annual General Meeting, scheduled for June 2, 2026</w:t>
      </w:r>
      <w:r>
        <w:rPr>
          <w:rFonts w:ascii="Times New Roman" w:cs="Times New Roman" w:eastAsia="Times New Roman" w:hAnsi="Times New Roman"/>
          <w:sz w:val="20"/>
          <w:szCs w:val="20"/>
          <w:color w:val="000000"/>
        </w:rPr>
        <w:t>. Dr. Hinsch Gylvin is a seasoned pharmaceutical executive with more than 20 years of global leadership experience spanning all phases of drug development in a broad range of therapeutic areas.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auto"/>
        </w:rPr>
        <w:t>Summary of Anticipated Milestones</w:t>
      </w:r>
    </w:p>
    <w:p>
      <w:pPr>
        <w:spacing w:after="0" w:line="135" w:lineRule="exact"/>
        <w:rPr>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AX-0810 (NTCP) Phase 1 target engagement data in healthy volunteers, second quarter of 2026</w:t>
      </w:r>
    </w:p>
    <w:p>
      <w:pPr>
        <w:spacing w:after="0" w:line="67" w:lineRule="exact"/>
        <w:rPr>
          <w:rFonts w:ascii="Times New Roman" w:cs="Times New Roman" w:eastAsia="Times New Roman" w:hAnsi="Times New Roman"/>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IIT in pediatric biliary atresia in China, with initial data targeted for first half of 2027</w:t>
      </w:r>
    </w:p>
    <w:p>
      <w:pPr>
        <w:spacing w:after="0" w:line="40" w:lineRule="exact"/>
        <w:rPr>
          <w:rFonts w:ascii="Times New Roman" w:cs="Times New Roman" w:eastAsia="Times New Roman" w:hAnsi="Times New Roman"/>
          <w:sz w:val="20"/>
          <w:szCs w:val="20"/>
          <w:color w:val="auto"/>
        </w:rPr>
      </w:pPr>
    </w:p>
    <w:p>
      <w:pPr>
        <w:ind w:left="380" w:right="499" w:hanging="330"/>
        <w:spacing w:after="0" w:line="250" w:lineRule="auto"/>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AX-0811 (NTCP, next gen Axiomer) CTA filing in mid 2026, with initial data in healthy volunteers by year-end 2026</w:t>
      </w:r>
    </w:p>
    <w:p>
      <w:pPr>
        <w:spacing w:after="0" w:line="1" w:lineRule="exact"/>
        <w:rPr>
          <w:rFonts w:ascii="Times New Roman" w:cs="Times New Roman" w:eastAsia="Times New Roman" w:hAnsi="Times New Roman"/>
          <w:sz w:val="20"/>
          <w:szCs w:val="20"/>
          <w:color w:val="auto"/>
        </w:rPr>
      </w:pPr>
    </w:p>
    <w:p>
      <w:pPr>
        <w:ind w:left="380" w:right="819" w:hanging="330"/>
        <w:spacing w:after="0" w:line="243" w:lineRule="auto"/>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AX-0422 (IDUA) CTA filing in early 2027, with initial data in patients targeted for the first half of 2027</w:t>
      </w:r>
    </w:p>
    <w:p>
      <w:pPr>
        <w:ind w:left="380" w:hanging="330"/>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AX-2911(PNPLA3) FIH IIT in the first half of 2027</w:t>
      </w:r>
    </w:p>
    <w:p>
      <w:pPr>
        <w:spacing w:after="0" w:line="65" w:lineRule="exact"/>
        <w:rPr>
          <w:rFonts w:ascii="Times New Roman" w:cs="Times New Roman" w:eastAsia="Times New Roman" w:hAnsi="Times New Roman"/>
          <w:sz w:val="20"/>
          <w:szCs w:val="20"/>
          <w:color w:val="auto"/>
        </w:rPr>
      </w:pPr>
    </w:p>
    <w:p>
      <w:pPr>
        <w:ind w:left="380" w:hanging="330"/>
        <w:spacing w:after="0"/>
        <w:tabs>
          <w:tab w:leader="none" w:pos="3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to execute on Lilly collaboration, with potential data updates and milestone payments</w:t>
      </w:r>
    </w:p>
    <w:p>
      <w:pPr>
        <w:spacing w:after="0" w:line="3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b w:val="1"/>
          <w:bCs w:val="1"/>
          <w:color w:val="333333"/>
        </w:rPr>
        <w:t>Financial Highlights</w:t>
      </w:r>
    </w:p>
    <w:p>
      <w:pPr>
        <w:spacing w:after="0" w:line="154" w:lineRule="exact"/>
        <w:rPr>
          <w:sz w:val="20"/>
          <w:szCs w:val="20"/>
          <w:color w:val="auto"/>
        </w:rPr>
      </w:pPr>
    </w:p>
    <w:p>
      <w:pPr>
        <w:ind w:left="60" w:right="539"/>
        <w:spacing w:after="0" w:line="269" w:lineRule="auto"/>
        <w:rPr>
          <w:sz w:val="20"/>
          <w:szCs w:val="20"/>
          <w:color w:val="auto"/>
        </w:rPr>
      </w:pPr>
      <w:r>
        <w:rPr>
          <w:rFonts w:ascii="Times New Roman" w:cs="Times New Roman" w:eastAsia="Times New Roman" w:hAnsi="Times New Roman"/>
          <w:sz w:val="20"/>
          <w:szCs w:val="20"/>
          <w:color w:val="auto"/>
        </w:rPr>
        <w:t>At March 31, 2026, ProQR held cash and cash equivalents of approximately € 81.1 million, compared to € 92.4 million at December 31, 2025.</w:t>
      </w:r>
    </w:p>
    <w:p>
      <w:pPr>
        <w:spacing w:after="0" w:line="159" w:lineRule="exact"/>
        <w:rPr>
          <w:sz w:val="20"/>
          <w:szCs w:val="20"/>
          <w:color w:val="auto"/>
        </w:rPr>
      </w:pPr>
    </w:p>
    <w:p>
      <w:pPr>
        <w:ind w:left="60" w:right="2079"/>
        <w:spacing w:after="0" w:line="269" w:lineRule="auto"/>
        <w:rPr>
          <w:sz w:val="20"/>
          <w:szCs w:val="20"/>
          <w:color w:val="auto"/>
        </w:rPr>
      </w:pPr>
      <w:r>
        <w:rPr>
          <w:rFonts w:ascii="Times New Roman" w:cs="Times New Roman" w:eastAsia="Times New Roman" w:hAnsi="Times New Roman"/>
          <w:sz w:val="20"/>
          <w:szCs w:val="20"/>
          <w:color w:val="auto"/>
        </w:rPr>
        <w:t>Net cash used in operating activities during the first quarter ended March 31, 2026 was € 11.1 million, compared to € 15.8 million used for the same period in 2025.</w:t>
      </w:r>
    </w:p>
    <w:p>
      <w:pPr>
        <w:spacing w:after="0" w:line="159" w:lineRule="exact"/>
        <w:rPr>
          <w:sz w:val="20"/>
          <w:szCs w:val="20"/>
          <w:color w:val="auto"/>
        </w:rPr>
      </w:pPr>
    </w:p>
    <w:p>
      <w:pPr>
        <w:ind w:left="60" w:right="1139"/>
        <w:spacing w:after="0" w:line="269" w:lineRule="auto"/>
        <w:rPr>
          <w:sz w:val="20"/>
          <w:szCs w:val="20"/>
          <w:color w:val="auto"/>
        </w:rPr>
      </w:pPr>
      <w:r>
        <w:rPr>
          <w:rFonts w:ascii="Times New Roman" w:cs="Times New Roman" w:eastAsia="Times New Roman" w:hAnsi="Times New Roman"/>
          <w:sz w:val="20"/>
          <w:szCs w:val="20"/>
          <w:color w:val="auto"/>
        </w:rPr>
        <w:t>Research and development (R&amp;D) costs for the quarter ended March 31, 2026 were € 11.8 million, compared to € 12.3 million for the same period last year.</w:t>
      </w:r>
    </w:p>
    <w:p>
      <w:pPr>
        <w:spacing w:after="0" w:line="159" w:lineRule="exact"/>
        <w:rPr>
          <w:sz w:val="20"/>
          <w:szCs w:val="20"/>
          <w:color w:val="auto"/>
        </w:rPr>
      </w:pPr>
    </w:p>
    <w:p>
      <w:pPr>
        <w:ind w:left="60" w:right="639"/>
        <w:spacing w:after="0" w:line="269" w:lineRule="auto"/>
        <w:rPr>
          <w:sz w:val="20"/>
          <w:szCs w:val="20"/>
          <w:color w:val="auto"/>
        </w:rPr>
      </w:pPr>
      <w:r>
        <w:rPr>
          <w:rFonts w:ascii="Times New Roman" w:cs="Times New Roman" w:eastAsia="Times New Roman" w:hAnsi="Times New Roman"/>
          <w:sz w:val="20"/>
          <w:szCs w:val="20"/>
          <w:color w:val="auto"/>
        </w:rPr>
        <w:t>General and administrative costs for the quarter ended March 31, 2026 were € 3.9 million, compared to € 3.2 million for the same period in 2025.</w:t>
      </w:r>
    </w:p>
    <w:p>
      <w:pPr>
        <w:spacing w:after="0" w:line="159" w:lineRule="exact"/>
        <w:rPr>
          <w:sz w:val="20"/>
          <w:szCs w:val="20"/>
          <w:color w:val="auto"/>
        </w:rPr>
      </w:pPr>
    </w:p>
    <w:p>
      <w:pPr>
        <w:ind w:left="60" w:right="379"/>
        <w:spacing w:after="0" w:line="269" w:lineRule="auto"/>
        <w:rPr>
          <w:sz w:val="20"/>
          <w:szCs w:val="20"/>
          <w:color w:val="auto"/>
        </w:rPr>
      </w:pPr>
      <w:r>
        <w:rPr>
          <w:rFonts w:ascii="Times New Roman" w:cs="Times New Roman" w:eastAsia="Times New Roman" w:hAnsi="Times New Roman"/>
          <w:sz w:val="20"/>
          <w:szCs w:val="20"/>
          <w:color w:val="auto"/>
        </w:rPr>
        <w:t>Net loss for the quarter ended March 31, 2026 was € 13.4 million, or € 0.13 per diluted share, compared to € 10.1 million, or € 0.10 per diluted share, for the same period in 2025.</w:t>
      </w:r>
    </w:p>
    <w:p>
      <w:pPr>
        <w:spacing w:after="0" w:line="159" w:lineRule="exact"/>
        <w:rPr>
          <w:sz w:val="20"/>
          <w:szCs w:val="20"/>
          <w:color w:val="auto"/>
        </w:rPr>
      </w:pPr>
    </w:p>
    <w:p>
      <w:pPr>
        <w:ind w:left="60" w:right="859"/>
        <w:spacing w:after="0" w:line="269" w:lineRule="auto"/>
        <w:rPr>
          <w:sz w:val="20"/>
          <w:szCs w:val="20"/>
          <w:color w:val="auto"/>
        </w:rPr>
      </w:pPr>
      <w:r>
        <w:rPr>
          <w:rFonts w:ascii="Times New Roman" w:cs="Times New Roman" w:eastAsia="Times New Roman" w:hAnsi="Times New Roman"/>
          <w:sz w:val="20"/>
          <w:szCs w:val="20"/>
          <w:color w:val="auto"/>
        </w:rPr>
        <w:t>For further financial information for the period ended March 31, 2026, please refer to our Q1 financial report filing available on our website, www.proqr.com under Financials and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321310</wp:posOffset>
            </wp:positionV>
            <wp:extent cx="54603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60365" cy="17145"/>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23"/>
          <w:szCs w:val="23"/>
          <w:b w:val="1"/>
          <w:bCs w:val="1"/>
          <w:color w:val="333333"/>
        </w:rPr>
        <w:t>About Axiomer™</w:t>
      </w:r>
    </w:p>
    <w:p>
      <w:pPr>
        <w:spacing w:after="0" w:line="154"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9"/>
          <w:szCs w:val="19"/>
          <w:color w:val="auto"/>
        </w:rPr>
        <w:t>ProQR is pioneering a next-generation RNA base editing technology called Axiomer™, which could potentially yield a new class of medicines for diverse types of diseases. Axiomer™ “Editing Oligonucleotides”, or EONs, mediate single nucleotide changes to RNA in a highly specific and targeted way using molecular machinery that is present in human cells called ADAR (Adenosine Deaminase Acting on RNA). Axiomer™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b w:val="1"/>
          <w:bCs w:val="1"/>
          <w:color w:val="333333"/>
        </w:rPr>
        <w:t>About ProQR</w:t>
      </w:r>
    </w:p>
    <w:p>
      <w:pPr>
        <w:spacing w:after="0" w:line="154" w:lineRule="exact"/>
        <w:rPr>
          <w:sz w:val="20"/>
          <w:szCs w:val="20"/>
          <w:color w:val="auto"/>
        </w:rPr>
      </w:pPr>
    </w:p>
    <w:p>
      <w:pPr>
        <w:ind w:left="60" w:right="459"/>
        <w:spacing w:after="0" w:line="245" w:lineRule="auto"/>
        <w:rPr>
          <w:sz w:val="20"/>
          <w:szCs w:val="20"/>
          <w:color w:val="auto"/>
        </w:rPr>
      </w:pPr>
      <w:r>
        <w:rPr>
          <w:rFonts w:ascii="Times New Roman" w:cs="Times New Roman" w:eastAsia="Times New Roman" w:hAnsi="Times New Roman"/>
          <w:sz w:val="20"/>
          <w:szCs w:val="20"/>
          <w:color w:val="auto"/>
        </w:rPr>
        <w:t>ProQR Therapeutics is dedicated to changing lives through the creation of transformative RNA therapies. ProQR is pioneering a next-generation RNA technology called Axiomer™,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Learn more about ProQR at </w:t>
      </w:r>
      <w:r>
        <w:rPr>
          <w:rFonts w:ascii="Times New Roman" w:cs="Times New Roman" w:eastAsia="Times New Roman" w:hAnsi="Times New Roman"/>
          <w:sz w:val="20"/>
          <w:szCs w:val="20"/>
          <w:b w:val="1"/>
          <w:bCs w:val="1"/>
          <w:color w:val="23A49B"/>
        </w:rPr>
        <w:t>www.proqr.com</w:t>
      </w:r>
      <w:r>
        <w:rPr>
          <w:rFonts w:ascii="Times New Roman" w:cs="Times New Roman" w:eastAsia="Times New Roman" w:hAnsi="Times New Roman"/>
          <w:sz w:val="20"/>
          <w:szCs w:val="20"/>
          <w:color w:val="auto"/>
        </w:rPr>
        <w:t>.</w:t>
      </w:r>
    </w:p>
    <w:p>
      <w:pPr>
        <w:spacing w:after="0" w:line="3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b w:val="1"/>
          <w:bCs w:val="1"/>
          <w:color w:val="333333"/>
        </w:rPr>
        <w:t>Forward Looking Statements</w:t>
      </w:r>
    </w:p>
    <w:p>
      <w:pPr>
        <w:spacing w:after="0" w:line="158" w:lineRule="exact"/>
        <w:rPr>
          <w:sz w:val="20"/>
          <w:szCs w:val="20"/>
          <w:color w:val="auto"/>
        </w:rPr>
      </w:pPr>
    </w:p>
    <w:p>
      <w:pPr>
        <w:ind w:left="60" w:right="419"/>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technology, strategy, preclinical and clinical model data; our initial pipeline targets and the upcoming strategic priorities and milestones related thereto; the continued advancement of our lead development pipeline programs, including ongoing and planned clinical trials; the ongoing Phase 1 clinical study of AX-0810 in NTCP for cholestatic diseases, including the anticipated timing of initial Phase 1 target engagement data from the first cohort of healthy volunteers in the second quarter of 2026; our expectations regarding the safety and therapeutic benefits of AX-0810, including the planned dosing levels and their efficacy; our ability to collaborate with investigators to execute and recruit for an investigator-initiated trial of AX-0810 in China in pediatric participants with biliary atresia and to generate meaningful data therefrom, including the anticipated timing of initial data readout in H1 2027; risks and uncertainties associated with conducting clinical trials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54603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019"/>
          </w:cols>
          <w:pgMar w:left="1440" w:top="752" w:right="1440" w:bottom="1440" w:gutter="0" w:footer="0" w:header="0"/>
        </w:sectPr>
      </w:pPr>
    </w:p>
    <w:bookmarkStart w:id="24" w:name="page25"/>
    <w:bookmarkEnd w:id="24"/>
    <w:p>
      <w:pPr>
        <w:ind w:left="60" w:right="379"/>
        <w:spacing w:after="0" w:line="251" w:lineRule="auto"/>
        <w:rPr>
          <w:sz w:val="20"/>
          <w:szCs w:val="20"/>
          <w:color w:val="auto"/>
        </w:rPr>
      </w:pPr>
      <w:r>
        <w:rPr>
          <w:rFonts w:ascii="Times New Roman" w:cs="Times New Roman" w:eastAsia="Times New Roman" w:hAnsi="Times New Roman"/>
          <w:sz w:val="18"/>
          <w:szCs w:val="18"/>
          <w:color w:val="auto"/>
        </w:rPr>
        <w:t>including evolving regulatory requirements; our pipeline targets, including the planned Phase 1 clinical trial of AX-0811 for cholestatic diseases; our ability to recruit for and complete a Phase 1 clinical trial for AX-0811, including the anticipated timing of a CTA filing in mid 2026 and initial data readout by year end 2026; the anticipated first-in-human study of AX-0422 targeting IDUA for Hurler syndrome, with a CTA filing expected in early 2027 and anticipated initial clinical data readout in H1 2027; the anticipated investigator-initiated study in China of AX-2911 targeting PNPLA3 for MASH in H1 2027; our expectations regarding clinical updates across multiple programs in 2026 and 2027; the therapeutic potential and development timeline regarding AX-0810, AX-0811, AX-0422, and AX-2911; the anticipated benefits from our partnership with Ginkgo Bioworks; the role and expected contributions of our AI Advisory Board; our participation at upcoming scientific conferences; the continued development and advancement of our Axiomer platform; the therapeutic potential of our Axiomer RNA editing oligonucleotides and product candidates; the timing, progress and results of our preclinical studies and other development and pipeline activities, including the release of data related thereto; our patent estate, including our anticipated strength and our continued investment in it, as well as the timing of our clinical development; the potential of our technologies and product candidates; the collaboration with Lilly and the intended benefits thereof, including timing for data updates, potential milestones, exercise of an option to expand targets and the receipt of an opt-in payment; our ability to selectively form new partnerships and enter into future collaborations; our financial position and cash-runway to fund our operations into mid 2027, and the anticipated changes to our Board composition, including the nomination of Dr. Lykke Hinsch Gylvin, subject to shareholder approval.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the cost, timing and results of preclinical studies and clinical trials and other development activities by us and our collaborative partners whose operations and activities may be slowed or halted due to shortage and pressure on supply chains and logistics in the global market, economic sanctions and international tariffs;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344805</wp:posOffset>
            </wp:positionV>
            <wp:extent cx="54603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60365" cy="25400"/>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25" w:name="page26"/>
    <w:bookmarkEnd w:id="25"/>
    <w:p>
      <w:pPr>
        <w:ind w:left="60" w:right="479"/>
        <w:spacing w:after="0" w:line="254" w:lineRule="auto"/>
        <w:rPr>
          <w:sz w:val="20"/>
          <w:szCs w:val="20"/>
          <w:color w:val="auto"/>
        </w:rPr>
      </w:pPr>
      <w:r>
        <w:rPr>
          <w:rFonts w:ascii="Times New Roman" w:cs="Times New Roman" w:eastAsia="Times New Roman" w:hAnsi="Times New Roman"/>
          <w:sz w:val="18"/>
          <w:szCs w:val="18"/>
          <w:color w:val="auto"/>
        </w:rPr>
        <w:t>Lilly;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spacing w:after="0" w:line="2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3"/>
          <w:szCs w:val="23"/>
          <w:b w:val="1"/>
          <w:bCs w:val="1"/>
          <w:color w:val="333333"/>
        </w:rPr>
        <w:t>ProQR Therapeutics N.V.</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62626"/>
        </w:rPr>
        <w:t>Investor and media contact:</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62626"/>
        </w:rPr>
        <w:t>Sarah Kiely</w:t>
      </w:r>
    </w:p>
    <w:p>
      <w:pPr>
        <w:ind w:left="60"/>
        <w:spacing w:after="0"/>
        <w:rPr>
          <w:sz w:val="20"/>
          <w:szCs w:val="20"/>
          <w:color w:val="auto"/>
        </w:rPr>
      </w:pPr>
      <w:r>
        <w:rPr>
          <w:rFonts w:ascii="Times New Roman" w:cs="Times New Roman" w:eastAsia="Times New Roman" w:hAnsi="Times New Roman"/>
          <w:sz w:val="20"/>
          <w:szCs w:val="20"/>
          <w:color w:val="262626"/>
        </w:rPr>
        <w:t>ProQR Therapeutics N.V.</w:t>
      </w:r>
    </w:p>
    <w:p>
      <w:pPr>
        <w:jc w:val="both"/>
        <w:ind w:left="60" w:right="7399" w:hanging="10"/>
        <w:spacing w:after="0" w:line="251" w:lineRule="auto"/>
        <w:tabs>
          <w:tab w:leader="none" w:pos="276" w:val="left"/>
        </w:tabs>
        <w:numPr>
          <w:ilvl w:val="0"/>
          <w:numId w:val="23"/>
        </w:numPr>
        <w:rPr>
          <w:rFonts w:ascii="Times New Roman" w:cs="Times New Roman" w:eastAsia="Times New Roman" w:hAnsi="Times New Roman"/>
          <w:sz w:val="19"/>
          <w:szCs w:val="19"/>
          <w:color w:val="262626"/>
        </w:rPr>
      </w:pPr>
      <w:r>
        <w:rPr>
          <w:rFonts w:ascii="Times New Roman" w:cs="Times New Roman" w:eastAsia="Times New Roman" w:hAnsi="Times New Roman"/>
          <w:sz w:val="19"/>
          <w:szCs w:val="19"/>
          <w:color w:val="262626"/>
        </w:rPr>
        <w:t xml:space="preserve">+1 617 599 6228 </w:t>
      </w:r>
      <w:r>
        <w:rPr>
          <w:rFonts w:ascii="Times New Roman" w:cs="Times New Roman" w:eastAsia="Times New Roman" w:hAnsi="Times New Roman"/>
          <w:sz w:val="19"/>
          <w:szCs w:val="19"/>
          <w:b w:val="1"/>
          <w:bCs w:val="1"/>
          <w:u w:val="single" w:color="auto"/>
          <w:color w:val="23A49B"/>
        </w:rPr>
        <w:t xml:space="preserve">skiely@proqr.com </w:t>
      </w:r>
      <w:r>
        <w:rPr>
          <w:rFonts w:ascii="Times New Roman" w:cs="Times New Roman" w:eastAsia="Times New Roman" w:hAnsi="Times New Roman"/>
          <w:sz w:val="19"/>
          <w:szCs w:val="19"/>
          <w:color w:val="262626"/>
        </w:rPr>
        <w:t>or</w:t>
      </w:r>
    </w:p>
    <w:p>
      <w:pPr>
        <w:ind w:left="60"/>
        <w:spacing w:after="0"/>
        <w:rPr>
          <w:rFonts w:ascii="Times New Roman" w:cs="Times New Roman" w:eastAsia="Times New Roman" w:hAnsi="Times New Roman"/>
          <w:sz w:val="19"/>
          <w:szCs w:val="19"/>
          <w:color w:val="262626"/>
        </w:rPr>
      </w:pPr>
      <w:r>
        <w:rPr>
          <w:rFonts w:ascii="Arial" w:cs="Arial" w:eastAsia="Arial" w:hAnsi="Arial"/>
          <w:sz w:val="20"/>
          <w:szCs w:val="20"/>
          <w:b w:val="1"/>
          <w:bCs w:val="1"/>
          <w:color w:val="262626"/>
        </w:rPr>
        <w:t>Investor contact:</w:t>
      </w:r>
    </w:p>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62626"/>
        </w:rPr>
        <w:t>Peter Kelleher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262626"/>
        </w:rPr>
        <w:t>LifeSci Advisors</w:t>
      </w:r>
    </w:p>
    <w:p>
      <w:pPr>
        <w:ind w:left="60" w:right="6399" w:hanging="10"/>
        <w:spacing w:after="0" w:line="271" w:lineRule="auto"/>
        <w:tabs>
          <w:tab w:leader="none" w:pos="276" w:val="left"/>
        </w:tabs>
        <w:numPr>
          <w:ilvl w:val="0"/>
          <w:numId w:val="24"/>
        </w:numPr>
        <w:rPr>
          <w:rFonts w:ascii="Times New Roman" w:cs="Times New Roman" w:eastAsia="Times New Roman" w:hAnsi="Times New Roman"/>
          <w:sz w:val="19"/>
          <w:szCs w:val="19"/>
          <w:color w:val="262626"/>
        </w:rPr>
      </w:pPr>
      <w:r>
        <w:rPr>
          <w:rFonts w:ascii="Times New Roman" w:cs="Times New Roman" w:eastAsia="Times New Roman" w:hAnsi="Times New Roman"/>
          <w:sz w:val="19"/>
          <w:szCs w:val="19"/>
          <w:color w:val="262626"/>
        </w:rPr>
        <w:t xml:space="preserve">+1 617 430 7579 </w:t>
      </w:r>
      <w:r>
        <w:rPr>
          <w:rFonts w:ascii="Times New Roman" w:cs="Times New Roman" w:eastAsia="Times New Roman" w:hAnsi="Times New Roman"/>
          <w:sz w:val="19"/>
          <w:szCs w:val="19"/>
          <w:b w:val="1"/>
          <w:bCs w:val="1"/>
          <w:color w:val="23A49B"/>
        </w:rPr>
        <w:t>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321310</wp:posOffset>
            </wp:positionV>
            <wp:extent cx="54603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603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-46355</wp:posOffset>
            </wp:positionV>
            <wp:extent cx="16275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23"/>
          <w:szCs w:val="23"/>
          <w:b w:val="1"/>
          <w:bCs w:val="1"/>
          <w:color w:val="262626"/>
        </w:rPr>
        <w:t>Financial Tables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PROQR THERAPEUTICS N.V.</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Unaudited Condensed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179705</wp:posOffset>
            </wp:positionV>
            <wp:extent cx="54521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79" w:lineRule="exact"/>
        <w:rPr>
          <w:sz w:val="20"/>
          <w:szCs w:val="20"/>
          <w:color w:val="auto"/>
        </w:rPr>
      </w:pPr>
    </w:p>
    <w:p>
      <w:pPr>
        <w:ind w:left="654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262626"/>
        </w:rPr>
        <w:t>March 31,</w:t>
      </w:r>
      <w:r>
        <w:rPr>
          <w:sz w:val="20"/>
          <w:szCs w:val="20"/>
          <w:color w:val="auto"/>
        </w:rPr>
        <w:tab/>
      </w:r>
      <w:r>
        <w:rPr>
          <w:rFonts w:ascii="Times New Roman" w:cs="Times New Roman" w:eastAsia="Times New Roman" w:hAnsi="Times New Roman"/>
          <w:sz w:val="14"/>
          <w:szCs w:val="14"/>
          <w:b w:val="1"/>
          <w:bCs w:val="1"/>
          <w:color w:val="262626"/>
        </w:rPr>
        <w:t>December 31,</w:t>
      </w:r>
    </w:p>
    <w:p>
      <w:pPr>
        <w:spacing w:after="0" w:line="55" w:lineRule="exact"/>
        <w:rPr>
          <w:sz w:val="20"/>
          <w:szCs w:val="20"/>
          <w:color w:val="auto"/>
        </w:rPr>
      </w:pPr>
    </w:p>
    <w:p>
      <w:pPr>
        <w:jc w:val="both"/>
        <w:ind w:left="6920"/>
        <w:spacing w:after="0"/>
        <w:tabs>
          <w:tab w:leader="none" w:pos="8280" w:val="left"/>
        </w:tabs>
        <w:rPr>
          <w:sz w:val="20"/>
          <w:szCs w:val="20"/>
          <w:color w:val="auto"/>
        </w:rPr>
      </w:pPr>
      <w:r>
        <w:rPr>
          <w:rFonts w:ascii="Times New Roman" w:cs="Times New Roman" w:eastAsia="Times New Roman" w:hAnsi="Times New Roman"/>
          <w:sz w:val="14"/>
          <w:szCs w:val="14"/>
          <w:b w:val="1"/>
          <w:bCs w:val="1"/>
          <w:color w:val="262626"/>
        </w:rPr>
        <w:t>2026</w:t>
      </w:r>
      <w:r>
        <w:rPr>
          <w:sz w:val="20"/>
          <w:szCs w:val="20"/>
          <w:color w:val="auto"/>
        </w:rPr>
        <w:tab/>
      </w:r>
      <w:r>
        <w:rPr>
          <w:rFonts w:ascii="Times New Roman" w:cs="Times New Roman" w:eastAsia="Times New Roman" w:hAnsi="Times New Roman"/>
          <w:sz w:val="14"/>
          <w:szCs w:val="14"/>
          <w:b w:val="1"/>
          <w:bCs w:val="1"/>
          <w:color w:val="262626"/>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wp:posOffset>
            </wp:positionV>
            <wp:extent cx="54521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768" w:right="1440" w:bottom="1440" w:gutter="0" w:footer="0" w:header="0"/>
        </w:sect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wp:posOffset>
            </wp:positionV>
            <wp:extent cx="36004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04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36004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62626"/>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32385</wp:posOffset>
            </wp:positionV>
            <wp:extent cx="36004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35"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4"/>
          <w:szCs w:val="14"/>
          <w:color w:val="262626"/>
        </w:rPr>
        <w:t>Investments in financial assets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r>
        <w:rPr>
          <w:sz w:val="20"/>
          <w:szCs w:val="20"/>
          <w:color w:val="auto"/>
        </w:rPr>
        <w:tab/>
      </w: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33655</wp:posOffset>
            </wp:positionV>
            <wp:extent cx="16541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37" w:lineRule="exact"/>
        <w:rPr>
          <w:sz w:val="20"/>
          <w:szCs w:val="20"/>
          <w:color w:val="auto"/>
        </w:rPr>
      </w:pPr>
    </w:p>
    <w:p>
      <w:pPr>
        <w:jc w:val="both"/>
        <w:ind w:left="440"/>
        <w:spacing w:after="0"/>
        <w:tabs>
          <w:tab w:leader="none" w:pos="1820" w:val="left"/>
        </w:tabs>
        <w:rPr>
          <w:sz w:val="20"/>
          <w:szCs w:val="20"/>
          <w:color w:val="auto"/>
        </w:rPr>
      </w:pPr>
      <w:r>
        <w:rPr>
          <w:rFonts w:ascii="Times New Roman" w:cs="Times New Roman" w:eastAsia="Times New Roman" w:hAnsi="Times New Roman"/>
          <w:sz w:val="14"/>
          <w:szCs w:val="14"/>
          <w:color w:val="262626"/>
        </w:rPr>
        <w:t>​</w:t>
      </w:r>
      <w:r>
        <w:rPr>
          <w:sz w:val="20"/>
          <w:szCs w:val="20"/>
          <w:color w:val="auto"/>
        </w:rPr>
        <w:tab/>
      </w:r>
      <w:r>
        <w:rPr>
          <w:rFonts w:ascii="Times New Roman" w:cs="Times New Roman" w:eastAsia="Times New Roman" w:hAnsi="Times New Roman"/>
          <w:sz w:val="14"/>
          <w:szCs w:val="14"/>
          <w:color w:val="26262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32385</wp:posOffset>
            </wp:positionV>
            <wp:extent cx="16541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262626"/>
        </w:rPr>
        <w:t>12,052</w:t>
      </w:r>
      <w:r>
        <w:rPr>
          <w:sz w:val="20"/>
          <w:szCs w:val="20"/>
          <w:color w:val="auto"/>
        </w:rPr>
        <w:tab/>
      </w:r>
      <w:r>
        <w:rPr>
          <w:rFonts w:ascii="Times New Roman" w:cs="Times New Roman" w:eastAsia="Times New Roman" w:hAnsi="Times New Roman"/>
          <w:sz w:val="14"/>
          <w:szCs w:val="14"/>
          <w:color w:val="262626"/>
        </w:rPr>
        <w:t>12,630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32385</wp:posOffset>
            </wp:positionV>
            <wp:extent cx="16541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35" w:lineRule="exact"/>
        <w:rPr>
          <w:sz w:val="20"/>
          <w:szCs w:val="20"/>
          <w:color w:val="auto"/>
        </w:rPr>
      </w:pPr>
    </w:p>
    <w:p>
      <w:pPr>
        <w:ind w:left="260"/>
        <w:spacing w:after="0"/>
        <w:tabs>
          <w:tab w:leader="none" w:pos="1620" w:val="left"/>
        </w:tabs>
        <w:rPr>
          <w:sz w:val="20"/>
          <w:szCs w:val="20"/>
          <w:color w:val="auto"/>
        </w:rPr>
      </w:pPr>
      <w:r>
        <w:rPr>
          <w:rFonts w:ascii="Times New Roman" w:cs="Times New Roman" w:eastAsia="Times New Roman" w:hAnsi="Times New Roman"/>
          <w:sz w:val="14"/>
          <w:szCs w:val="14"/>
          <w:color w:val="262626"/>
        </w:rPr>
        <w:t>—</w:t>
      </w:r>
      <w:r>
        <w:rPr>
          <w:sz w:val="20"/>
          <w:szCs w:val="20"/>
          <w:color w:val="auto"/>
        </w:rPr>
        <w:tab/>
      </w:r>
      <w:r>
        <w:rPr>
          <w:rFonts w:ascii="Times New Roman" w:cs="Times New Roman" w:eastAsia="Times New Roman" w:hAnsi="Times New Roman"/>
          <w:sz w:val="14"/>
          <w:szCs w:val="14"/>
          <w:color w:val="262626"/>
        </w:rPr>
        <w:t>—</w:t>
      </w:r>
    </w:p>
    <w:p>
      <w:pPr>
        <w:spacing w:after="0" w:line="31" w:lineRule="exact"/>
        <w:rPr>
          <w:sz w:val="20"/>
          <w:szCs w:val="20"/>
          <w:color w:val="auto"/>
        </w:rPr>
      </w:pPr>
    </w:p>
    <w:p>
      <w:pPr>
        <w:sectPr>
          <w:pgSz w:w="11900" w:h="16838" w:orient="portrait"/>
          <w:cols w:equalWidth="0" w:num="2">
            <w:col w:w="6080" w:space="720"/>
            <w:col w:w="2219"/>
          </w:cols>
          <w:pgMar w:left="1440" w:top="768" w:right="1440"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5680" w:type="dxa"/>
            <w:vAlign w:val="bottom"/>
            <w:tcBorders>
              <w:top w:val="single" w:sz="8" w:color="464646"/>
              <w:bottom w:val="single" w:sz="8" w:color="464646"/>
            </w:tcBorders>
          </w:tcPr>
          <w:p>
            <w:pPr>
              <w:ind w:left="120"/>
              <w:spacing w:after="0"/>
              <w:rPr>
                <w:sz w:val="20"/>
                <w:szCs w:val="20"/>
                <w:color w:val="auto"/>
              </w:rPr>
            </w:pPr>
            <w:r>
              <w:rPr>
                <w:rFonts w:ascii="Times New Roman" w:cs="Times New Roman" w:eastAsia="Times New Roman" w:hAnsi="Times New Roman"/>
                <w:sz w:val="14"/>
                <w:szCs w:val="14"/>
                <w:b w:val="1"/>
                <w:bCs w:val="1"/>
                <w:color w:val="262626"/>
              </w:rPr>
              <w:t>Non-current assets</w:t>
            </w:r>
          </w:p>
        </w:tc>
        <w:tc>
          <w:tcPr>
            <w:tcW w:w="300" w:type="dxa"/>
            <w:vAlign w:val="bottom"/>
          </w:tcPr>
          <w:p>
            <w:pPr>
              <w:spacing w:after="0"/>
              <w:rPr>
                <w:sz w:val="18"/>
                <w:szCs w:val="18"/>
                <w:color w:val="auto"/>
              </w:rPr>
            </w:pPr>
          </w:p>
        </w:tc>
        <w:tc>
          <w:tcPr>
            <w:tcW w:w="12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12,052</w:t>
            </w:r>
          </w:p>
        </w:tc>
        <w:tc>
          <w:tcPr>
            <w:tcW w:w="160" w:type="dxa"/>
            <w:vAlign w:val="bottom"/>
          </w:tcPr>
          <w:p>
            <w:pPr>
              <w:spacing w:after="0"/>
              <w:rPr>
                <w:sz w:val="18"/>
                <w:szCs w:val="18"/>
                <w:color w:val="auto"/>
              </w:rPr>
            </w:pPr>
          </w:p>
        </w:tc>
        <w:tc>
          <w:tcPr>
            <w:tcW w:w="124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12,630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Borders>
              <w:bottom w:val="single" w:sz="8" w:color="464646"/>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Cash and cash equivalents</w:t>
            </w:r>
          </w:p>
        </w:tc>
        <w:tc>
          <w:tcPr>
            <w:tcW w:w="300" w:type="dxa"/>
            <w:vAlign w:val="bottom"/>
          </w:tcPr>
          <w:p>
            <w:pPr>
              <w:spacing w:after="0"/>
              <w:rPr>
                <w:sz w:val="16"/>
                <w:szCs w:val="16"/>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81,088</w:t>
            </w:r>
          </w:p>
        </w:tc>
        <w:tc>
          <w:tcPr>
            <w:tcW w:w="160" w:type="dxa"/>
            <w:vAlign w:val="bottom"/>
          </w:tcPr>
          <w:p>
            <w:pPr>
              <w:spacing w:after="0"/>
              <w:rPr>
                <w:sz w:val="16"/>
                <w:szCs w:val="16"/>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92,413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Trade and other receivables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4,404</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6,800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Other taxes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1,490</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120"/>
              <w:spacing w:after="0"/>
              <w:rPr>
                <w:sz w:val="20"/>
                <w:szCs w:val="20"/>
                <w:color w:val="auto"/>
              </w:rPr>
            </w:pPr>
            <w:r>
              <w:rPr>
                <w:rFonts w:ascii="Times New Roman" w:cs="Times New Roman" w:eastAsia="Times New Roman" w:hAnsi="Times New Roman"/>
                <w:sz w:val="14"/>
                <w:szCs w:val="14"/>
                <w:b w:val="1"/>
                <w:bCs w:val="1"/>
                <w:color w:val="262626"/>
              </w:rPr>
              <w:t>Current assets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86,982</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100,126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 assets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99,034</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112,756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464646"/>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1240" w:type="dxa"/>
            <w:vAlign w:val="bottom"/>
            <w:tcBorders>
              <w:bottom w:val="single" w:sz="8" w:color="464646"/>
            </w:tcBorders>
          </w:tcPr>
          <w:p>
            <w:pPr>
              <w:spacing w:after="0"/>
              <w:rPr>
                <w:sz w:val="17"/>
                <w:szCs w:val="17"/>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Equity and liabilities</w:t>
            </w:r>
          </w:p>
        </w:tc>
        <w:tc>
          <w:tcPr>
            <w:tcW w:w="300" w:type="dxa"/>
            <w:vAlign w:val="bottom"/>
          </w:tcPr>
          <w:p>
            <w:pPr>
              <w:spacing w:after="0"/>
              <w:rPr>
                <w:sz w:val="16"/>
                <w:szCs w:val="16"/>
                <w:color w:val="auto"/>
              </w:rPr>
            </w:pPr>
          </w:p>
        </w:tc>
        <w:tc>
          <w:tcPr>
            <w:tcW w:w="1220" w:type="dxa"/>
            <w:vAlign w:val="bottom"/>
            <w:tcBorders>
              <w:bottom w:val="single" w:sz="8" w:color="464646"/>
            </w:tcBorders>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tcBorders>
              <w:bottom w:val="single" w:sz="8" w:color="464646"/>
            </w:tcBorders>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Equity</w:t>
            </w: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464646"/>
            </w:tcBorders>
          </w:tcPr>
          <w:p>
            <w:pPr>
              <w:spacing w:after="0"/>
              <w:rPr>
                <w:sz w:val="17"/>
                <w:szCs w:val="17"/>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Equity attributable to owners of the Company</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37,598</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49,374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 equity</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37,598</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49,374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464646"/>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1240" w:type="dxa"/>
            <w:vAlign w:val="bottom"/>
            <w:tcBorders>
              <w:bottom w:val="single" w:sz="8" w:color="464646"/>
            </w:tcBorders>
          </w:tcPr>
          <w:p>
            <w:pPr>
              <w:spacing w:after="0"/>
              <w:rPr>
                <w:sz w:val="17"/>
                <w:szCs w:val="17"/>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90"/>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Liabilities</w:t>
            </w:r>
          </w:p>
        </w:tc>
        <w:tc>
          <w:tcPr>
            <w:tcW w:w="300" w:type="dxa"/>
            <w:vAlign w:val="bottom"/>
          </w:tcPr>
          <w:p>
            <w:pPr>
              <w:spacing w:after="0"/>
              <w:rPr>
                <w:sz w:val="16"/>
                <w:szCs w:val="16"/>
                <w:color w:val="auto"/>
              </w:rPr>
            </w:pPr>
          </w:p>
        </w:tc>
        <w:tc>
          <w:tcPr>
            <w:tcW w:w="1220" w:type="dxa"/>
            <w:vAlign w:val="bottom"/>
            <w:tcBorders>
              <w:bottom w:val="single" w:sz="8" w:color="464646"/>
            </w:tcBorders>
          </w:tcPr>
          <w:p>
            <w:pPr>
              <w:spacing w:after="0"/>
              <w:rPr>
                <w:sz w:val="16"/>
                <w:szCs w:val="16"/>
                <w:color w:val="auto"/>
              </w:rPr>
            </w:pPr>
          </w:p>
        </w:tc>
        <w:tc>
          <w:tcPr>
            <w:tcW w:w="160" w:type="dxa"/>
            <w:vAlign w:val="bottom"/>
            <w:vMerge w:val="continue"/>
          </w:tcPr>
          <w:p>
            <w:pPr>
              <w:spacing w:after="0"/>
              <w:rPr>
                <w:sz w:val="16"/>
                <w:szCs w:val="16"/>
                <w:color w:val="auto"/>
              </w:rPr>
            </w:pPr>
          </w:p>
        </w:tc>
        <w:tc>
          <w:tcPr>
            <w:tcW w:w="1240" w:type="dxa"/>
            <w:vAlign w:val="bottom"/>
            <w:tcBorders>
              <w:bottom w:val="single" w:sz="8" w:color="464646"/>
            </w:tcBorders>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Borrowings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Lease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9,071</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9,547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Deferred income</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17,307</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21,394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120"/>
              <w:spacing w:after="0"/>
              <w:rPr>
                <w:sz w:val="20"/>
                <w:szCs w:val="20"/>
                <w:color w:val="auto"/>
              </w:rPr>
            </w:pPr>
            <w:r>
              <w:rPr>
                <w:rFonts w:ascii="Times New Roman" w:cs="Times New Roman" w:eastAsia="Times New Roman" w:hAnsi="Times New Roman"/>
                <w:sz w:val="14"/>
                <w:szCs w:val="14"/>
                <w:b w:val="1"/>
                <w:bCs w:val="1"/>
                <w:color w:val="262626"/>
              </w:rPr>
              <w:t>Non-current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26,378</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30,941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tcBorders>
              <w:bottom w:val="single" w:sz="8" w:color="464646"/>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Borrowings</w:t>
            </w:r>
          </w:p>
        </w:tc>
        <w:tc>
          <w:tcPr>
            <w:tcW w:w="300" w:type="dxa"/>
            <w:vAlign w:val="bottom"/>
          </w:tcPr>
          <w:p>
            <w:pPr>
              <w:spacing w:after="0"/>
              <w:rPr>
                <w:sz w:val="16"/>
                <w:szCs w:val="16"/>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4,945</w:t>
            </w:r>
          </w:p>
        </w:tc>
        <w:tc>
          <w:tcPr>
            <w:tcW w:w="160" w:type="dxa"/>
            <w:vAlign w:val="bottom"/>
          </w:tcPr>
          <w:p>
            <w:pPr>
              <w:spacing w:after="0"/>
              <w:rPr>
                <w:sz w:val="16"/>
                <w:szCs w:val="16"/>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4,872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Lease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1,717</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1,545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Derivative financial instruments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179</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Trade payables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189</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Deferred income</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19,607</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17,552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20"/>
              <w:spacing w:after="0"/>
              <w:rPr>
                <w:sz w:val="20"/>
                <w:szCs w:val="20"/>
                <w:color w:val="auto"/>
              </w:rPr>
            </w:pPr>
            <w:r>
              <w:rPr>
                <w:rFonts w:ascii="Times New Roman" w:cs="Times New Roman" w:eastAsia="Times New Roman" w:hAnsi="Times New Roman"/>
                <w:sz w:val="14"/>
                <w:szCs w:val="14"/>
                <w:color w:val="262626"/>
              </w:rPr>
              <w:t>Other current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8,421</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7,940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120"/>
              <w:spacing w:after="0"/>
              <w:rPr>
                <w:sz w:val="20"/>
                <w:szCs w:val="20"/>
                <w:color w:val="auto"/>
              </w:rPr>
            </w:pPr>
            <w:r>
              <w:rPr>
                <w:rFonts w:ascii="Times New Roman" w:cs="Times New Roman" w:eastAsia="Times New Roman" w:hAnsi="Times New Roman"/>
                <w:sz w:val="14"/>
                <w:szCs w:val="14"/>
                <w:b w:val="1"/>
                <w:bCs w:val="1"/>
                <w:color w:val="262626"/>
              </w:rPr>
              <w:t>Current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35,058</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32,441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 liabilities</w:t>
            </w:r>
          </w:p>
        </w:tc>
        <w:tc>
          <w:tcPr>
            <w:tcW w:w="300" w:type="dxa"/>
            <w:vAlign w:val="bottom"/>
          </w:tcPr>
          <w:p>
            <w:pPr>
              <w:spacing w:after="0"/>
              <w:rPr>
                <w:sz w:val="17"/>
                <w:szCs w:val="17"/>
                <w:color w:val="auto"/>
              </w:rPr>
            </w:pPr>
          </w:p>
        </w:tc>
        <w:tc>
          <w:tcPr>
            <w:tcW w:w="12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61,436</w:t>
            </w:r>
          </w:p>
        </w:tc>
        <w:tc>
          <w:tcPr>
            <w:tcW w:w="160" w:type="dxa"/>
            <w:vAlign w:val="bottom"/>
          </w:tcPr>
          <w:p>
            <w:pPr>
              <w:spacing w:after="0"/>
              <w:rPr>
                <w:sz w:val="17"/>
                <w:szCs w:val="17"/>
                <w:color w:val="auto"/>
              </w:rPr>
            </w:pPr>
          </w:p>
        </w:tc>
        <w:tc>
          <w:tcPr>
            <w:tcW w:w="12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63,382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80" w:type="dxa"/>
            <w:vAlign w:val="bottom"/>
            <w:tcBorders>
              <w:bottom w:val="single" w:sz="8" w:color="464646"/>
            </w:tcBorders>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Borders>
              <w:bottom w:val="single" w:sz="8" w:color="464646"/>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80" w:type="dxa"/>
            <w:vAlign w:val="bottom"/>
            <w:tcBorders>
              <w:bottom w:val="single" w:sz="8" w:color="22A49B"/>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 equity and liabilities</w:t>
            </w:r>
          </w:p>
        </w:tc>
        <w:tc>
          <w:tcPr>
            <w:tcW w:w="300" w:type="dxa"/>
            <w:vAlign w:val="bottom"/>
            <w:tcBorders>
              <w:bottom w:val="single" w:sz="8" w:color="22A49B"/>
            </w:tcBorders>
          </w:tcPr>
          <w:p>
            <w:pPr>
              <w:spacing w:after="0"/>
              <w:rPr>
                <w:sz w:val="17"/>
                <w:szCs w:val="17"/>
                <w:color w:val="auto"/>
              </w:rPr>
            </w:pPr>
          </w:p>
        </w:tc>
        <w:tc>
          <w:tcPr>
            <w:tcW w:w="122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99,034</w:t>
            </w:r>
          </w:p>
        </w:tc>
        <w:tc>
          <w:tcPr>
            <w:tcW w:w="160" w:type="dxa"/>
            <w:vAlign w:val="bottom"/>
            <w:tcBorders>
              <w:bottom w:val="single" w:sz="8" w:color="22A49B"/>
            </w:tcBorders>
          </w:tcPr>
          <w:p>
            <w:pPr>
              <w:spacing w:after="0"/>
              <w:rPr>
                <w:sz w:val="17"/>
                <w:szCs w:val="17"/>
                <w:color w:val="auto"/>
              </w:rPr>
            </w:pPr>
          </w:p>
        </w:tc>
        <w:tc>
          <w:tcPr>
            <w:tcW w:w="124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112,756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5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68"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21"/>
          <w:szCs w:val="21"/>
          <w:b w:val="1"/>
          <w:bCs w:val="1"/>
          <w:color w:val="auto"/>
        </w:rPr>
        <w:t>PROQR THERAPEUTICS N.V.</w:t>
      </w:r>
    </w:p>
    <w:p>
      <w:pPr>
        <w:spacing w:after="0" w:line="69" w:lineRule="exact"/>
        <w:rPr>
          <w:sz w:val="20"/>
          <w:szCs w:val="20"/>
          <w:color w:val="auto"/>
        </w:rPr>
      </w:pPr>
    </w:p>
    <w:p>
      <w:pPr>
        <w:ind w:left="60" w:right="1659"/>
        <w:spacing w:after="0" w:line="324" w:lineRule="auto"/>
        <w:rPr>
          <w:sz w:val="20"/>
          <w:szCs w:val="20"/>
          <w:color w:val="auto"/>
        </w:rPr>
      </w:pPr>
      <w:r>
        <w:rPr>
          <w:rFonts w:ascii="Arial" w:cs="Arial" w:eastAsia="Arial" w:hAnsi="Arial"/>
          <w:sz w:val="21"/>
          <w:szCs w:val="21"/>
          <w:b w:val="1"/>
          <w:bCs w:val="1"/>
          <w:color w:val="auto"/>
        </w:rPr>
        <w:t>Unaudited Condensed Consolidated Statement of Profit or Loss and Other Comprehensive Income</w:t>
      </w:r>
    </w:p>
    <w:p>
      <w:pPr>
        <w:ind w:left="60"/>
        <w:spacing w:after="0"/>
        <w:rPr>
          <w:sz w:val="20"/>
          <w:szCs w:val="20"/>
          <w:color w:val="auto"/>
        </w:rPr>
      </w:pPr>
      <w:r>
        <w:rPr>
          <w:rFonts w:ascii="Arial" w:cs="Arial" w:eastAsia="Arial" w:hAnsi="Arial"/>
          <w:sz w:val="16"/>
          <w:szCs w:val="16"/>
          <w:color w:val="auto"/>
        </w:rPr>
        <w:t>(€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29210</wp:posOffset>
            </wp:positionV>
            <wp:extent cx="54521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262626"/>
              </w:rPr>
              <w:t>Three month period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262626"/>
              </w:rPr>
              <w:t>ended March 31,</w:t>
            </w:r>
          </w:p>
        </w:tc>
        <w:tc>
          <w:tcPr>
            <w:tcW w:w="0" w:type="dxa"/>
            <w:vAlign w:val="bottom"/>
          </w:tcPr>
          <w:p>
            <w:pPr>
              <w:spacing w:after="0"/>
              <w:rPr>
                <w:sz w:val="1"/>
                <w:szCs w:val="1"/>
                <w:color w:val="auto"/>
              </w:rPr>
            </w:pPr>
          </w:p>
        </w:tc>
      </w:tr>
      <w:tr>
        <w:trPr>
          <w:trHeight w:val="23"/>
        </w:trPr>
        <w:tc>
          <w:tcPr>
            <w:tcW w:w="5780" w:type="dxa"/>
            <w:vAlign w:val="bottom"/>
            <w:tcBorders>
              <w:bottom w:val="single" w:sz="8" w:color="464646"/>
            </w:tcBorders>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Borders>
              <w:bottom w:val="single" w:sz="8" w:color="464646"/>
            </w:tcBorders>
          </w:tcPr>
          <w:p>
            <w:pPr>
              <w:spacing w:after="0"/>
              <w:rPr>
                <w:sz w:val="2"/>
                <w:szCs w:val="2"/>
                <w:color w:val="auto"/>
              </w:rPr>
            </w:pPr>
          </w:p>
        </w:tc>
        <w:tc>
          <w:tcPr>
            <w:tcW w:w="40" w:type="dxa"/>
            <w:vAlign w:val="bottom"/>
            <w:tcBorders>
              <w:bottom w:val="single" w:sz="8" w:color="464646"/>
            </w:tcBorders>
          </w:tcPr>
          <w:p>
            <w:pPr>
              <w:spacing w:after="0"/>
              <w:rPr>
                <w:sz w:val="2"/>
                <w:szCs w:val="2"/>
                <w:color w:val="auto"/>
              </w:rPr>
            </w:pPr>
          </w:p>
        </w:tc>
        <w:tc>
          <w:tcPr>
            <w:tcW w:w="1300" w:type="dxa"/>
            <w:vAlign w:val="bottom"/>
            <w:tcBorders>
              <w:bottom w:val="single" w:sz="8" w:color="464646"/>
            </w:tcBorders>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2026</w:t>
            </w:r>
          </w:p>
        </w:tc>
        <w:tc>
          <w:tcPr>
            <w:tcW w:w="4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62626"/>
              </w:rPr>
              <w:t>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464646"/>
              <w:bottom w:val="single" w:sz="8" w:color="464646"/>
            </w:tcBorders>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Revenue</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2,033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4,519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80" w:type="dxa"/>
            <w:vAlign w:val="bottom"/>
            <w:tcBorders>
              <w:bottom w:val="single" w:sz="8" w:color="464646"/>
            </w:tcBorders>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Other income</w:t>
            </w:r>
          </w:p>
        </w:tc>
        <w:tc>
          <w:tcPr>
            <w:tcW w:w="28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80" w:type="dxa"/>
            <w:vAlign w:val="bottom"/>
            <w:tcBorders>
              <w:bottom w:val="single" w:sz="8" w:color="464646"/>
            </w:tcBorders>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Research and development costs</w:t>
            </w:r>
          </w:p>
        </w:tc>
        <w:tc>
          <w:tcPr>
            <w:tcW w:w="28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(11,830)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(12,323)</w:t>
            </w:r>
          </w:p>
        </w:tc>
        <w:tc>
          <w:tcPr>
            <w:tcW w:w="20" w:type="dxa"/>
            <w:vAlign w:val="bottom"/>
            <w:tcBorders>
              <w:bottom w:val="single" w:sz="8" w:color="464646"/>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General and administrative costs</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(3,852)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464646"/>
            </w:tcBorders>
            <w:gridSpan w:val="2"/>
          </w:tcPr>
          <w:p>
            <w:pPr>
              <w:jc w:val="right"/>
              <w:spacing w:after="0"/>
              <w:rPr>
                <w:sz w:val="20"/>
                <w:szCs w:val="20"/>
                <w:color w:val="auto"/>
              </w:rPr>
            </w:pPr>
            <w:r>
              <w:rPr>
                <w:rFonts w:ascii="Times New Roman" w:cs="Times New Roman" w:eastAsia="Times New Roman" w:hAnsi="Times New Roman"/>
                <w:sz w:val="14"/>
                <w:szCs w:val="14"/>
                <w:color w:val="262626"/>
              </w:rPr>
              <w:t>(3,234)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62626"/>
              </w:rPr>
              <w:t>Total operating costs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(15,682)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262626"/>
              </w:rPr>
              <w:t>(15,557)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80" w:type="dxa"/>
            <w:vAlign w:val="bottom"/>
            <w:tcBorders>
              <w:top w:val="single" w:sz="8" w:color="464646"/>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top w:val="single" w:sz="8" w:color="464646"/>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5"/>
                <w:szCs w:val="15"/>
                <w:color w:val="auto"/>
              </w:rPr>
            </w:pPr>
          </w:p>
        </w:tc>
        <w:tc>
          <w:tcPr>
            <w:tcW w:w="1200" w:type="dxa"/>
            <w:vAlign w:val="bottom"/>
            <w:tcBorders>
              <w:top w:val="single" w:sz="8" w:color="464646"/>
            </w:tcBorders>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3"/>
        </w:trPr>
        <w:tc>
          <w:tcPr>
            <w:tcW w:w="60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464646"/>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Operating result</w:t>
            </w:r>
          </w:p>
        </w:tc>
        <w:tc>
          <w:tcPr>
            <w:tcW w:w="28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(13,649)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(10,816)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Financial income and expense</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212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455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Results related to financial liabilities measured at fair value through profit or loss</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54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282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3"/>
        </w:trPr>
        <w:tc>
          <w:tcPr>
            <w:tcW w:w="60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464646"/>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Result before corporate income taxes</w:t>
            </w:r>
          </w:p>
        </w:tc>
        <w:tc>
          <w:tcPr>
            <w:tcW w:w="28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(13,383)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(10,079)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Income taxes</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3"/>
        </w:trPr>
        <w:tc>
          <w:tcPr>
            <w:tcW w:w="60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464646"/>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Result for the period</w:t>
            </w:r>
          </w:p>
        </w:tc>
        <w:tc>
          <w:tcPr>
            <w:tcW w:w="28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(13,383)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(10,079)</w:t>
            </w:r>
          </w:p>
        </w:tc>
        <w:tc>
          <w:tcPr>
            <w:tcW w:w="20" w:type="dxa"/>
            <w:vAlign w:val="bottom"/>
            <w:tcBorders>
              <w:bottom w:val="single" w:sz="8" w:color="464646"/>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262626"/>
              </w:rPr>
              <w:t>Other comprehensive income (foreign exchange differences on foreign operation)</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62626"/>
              </w:rPr>
              <w:t>179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62626"/>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780" w:type="dxa"/>
            <w:vAlign w:val="bottom"/>
            <w:tcBorders>
              <w:top w:val="single" w:sz="8" w:color="464646"/>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top w:val="single" w:sz="8" w:color="464646"/>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5"/>
                <w:szCs w:val="15"/>
                <w:color w:val="auto"/>
              </w:rPr>
            </w:pPr>
          </w:p>
        </w:tc>
        <w:tc>
          <w:tcPr>
            <w:tcW w:w="1200" w:type="dxa"/>
            <w:vAlign w:val="bottom"/>
            <w:tcBorders>
              <w:top w:val="single" w:sz="8" w:color="464646"/>
            </w:tcBorders>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3"/>
        </w:trPr>
        <w:tc>
          <w:tcPr>
            <w:tcW w:w="606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3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top w:val="single" w:sz="8" w:color="464646"/>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Total comprehensive loss</w:t>
            </w:r>
          </w:p>
        </w:tc>
        <w:tc>
          <w:tcPr>
            <w:tcW w:w="28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(13,204)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(10,450)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464646"/>
            </w:tcBorders>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90"/>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b w:val="1"/>
                <w:bCs w:val="1"/>
                <w:color w:val="262626"/>
              </w:rPr>
              <w:t>Result attributable to</w:t>
            </w:r>
          </w:p>
        </w:tc>
        <w:tc>
          <w:tcPr>
            <w:tcW w:w="280" w:type="dxa"/>
            <w:vAlign w:val="bottom"/>
          </w:tcPr>
          <w:p>
            <w:pPr>
              <w:spacing w:after="0"/>
              <w:rPr>
                <w:sz w:val="16"/>
                <w:szCs w:val="16"/>
                <w:color w:val="auto"/>
              </w:rPr>
            </w:pPr>
          </w:p>
        </w:tc>
        <w:tc>
          <w:tcPr>
            <w:tcW w:w="1200" w:type="dxa"/>
            <w:vAlign w:val="bottom"/>
            <w:tcBorders>
              <w:bottom w:val="single" w:sz="8" w:color="464646"/>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464646"/>
            </w:tcBorders>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bottom w:val="single" w:sz="8" w:color="464646"/>
            </w:tcBorders>
          </w:tcPr>
          <w:p>
            <w:pPr>
              <w:ind w:left="20"/>
              <w:spacing w:after="0"/>
              <w:rPr>
                <w:sz w:val="20"/>
                <w:szCs w:val="20"/>
                <w:color w:val="auto"/>
              </w:rPr>
            </w:pPr>
            <w:r>
              <w:rPr>
                <w:rFonts w:ascii="Times New Roman" w:cs="Times New Roman" w:eastAsia="Times New Roman" w:hAnsi="Times New Roman"/>
                <w:sz w:val="14"/>
                <w:szCs w:val="14"/>
                <w:color w:val="262626"/>
              </w:rPr>
              <w:t>Owners of the Company</w:t>
            </w:r>
          </w:p>
        </w:tc>
        <w:tc>
          <w:tcPr>
            <w:tcW w:w="28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(13,383)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(10,079)</w:t>
            </w:r>
          </w:p>
        </w:tc>
        <w:tc>
          <w:tcPr>
            <w:tcW w:w="2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54521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Total comprehensive 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wp:posOffset>
            </wp:positionV>
            <wp:extent cx="36601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p>
      <w:pPr>
        <w:spacing w:after="0" w:line="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Owners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169545</wp:posOffset>
            </wp:positionV>
            <wp:extent cx="36601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32385</wp:posOffset>
            </wp:positionV>
            <wp:extent cx="36601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Share information</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Weighted average number of shares outstanding</w:t>
      </w:r>
      <w:r>
        <w:rPr>
          <w:rFonts w:ascii="Times New Roman" w:cs="Times New Roman" w:eastAsia="Times New Roman" w:hAnsi="Times New Roman"/>
          <w:sz w:val="10"/>
          <w:szCs w:val="10"/>
          <w:color w:val="26262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177800</wp:posOffset>
            </wp:positionV>
            <wp:extent cx="36601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40640</wp:posOffset>
            </wp:positionV>
            <wp:extent cx="3660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-95885</wp:posOffset>
            </wp:positionV>
            <wp:extent cx="36601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262626"/>
        </w:rPr>
        <w:t>Earnings per share attributable to owners of the Company (Euro per share)</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Basic loss per share</w:t>
      </w:r>
      <w:r>
        <w:rPr>
          <w:rFonts w:ascii="Times New Roman" w:cs="Times New Roman" w:eastAsia="Times New Roman" w:hAnsi="Times New Roman"/>
          <w:sz w:val="10"/>
          <w:szCs w:val="10"/>
          <w:color w:val="26262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3660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62626"/>
        </w:rPr>
        <w:t>Diluted loss per share</w:t>
      </w:r>
      <w:r>
        <w:rPr>
          <w:rFonts w:ascii="Times New Roman" w:cs="Times New Roman" w:eastAsia="Times New Roman" w:hAnsi="Times New Roman"/>
          <w:sz w:val="10"/>
          <w:szCs w:val="10"/>
          <w:color w:val="26262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40640</wp:posOffset>
            </wp:positionV>
            <wp:extent cx="545211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-95885</wp:posOffset>
            </wp:positionV>
            <wp:extent cx="36601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00" w:type="dxa"/>
            <w:vAlign w:val="bottom"/>
            <w:shd w:val="clear" w:color="auto" w:fill="46464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464646"/>
          </w:tcPr>
          <w:p>
            <w:pPr>
              <w:spacing w:after="0" w:line="20" w:lineRule="exact"/>
              <w:rPr>
                <w:sz w:val="1"/>
                <w:szCs w:val="1"/>
                <w:color w:val="auto"/>
              </w:rPr>
            </w:pPr>
          </w:p>
        </w:tc>
        <w:tc>
          <w:tcPr>
            <w:tcW w:w="40" w:type="dxa"/>
            <w:vAlign w:val="bottom"/>
            <w:tcBorders>
              <w:left w:val="single" w:sz="8" w:color="46464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262626"/>
              </w:rPr>
              <w:t>(13,204)</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62626"/>
              </w:rPr>
              <w:t>(10,450)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00" w:type="dxa"/>
            <w:vAlign w:val="bottom"/>
            <w:tcBorders>
              <w:top w:val="single" w:sz="8" w:color="464646"/>
            </w:tcBorders>
          </w:tcPr>
          <w:p>
            <w:pPr>
              <w:spacing w:after="0"/>
              <w:rPr>
                <w:sz w:val="15"/>
                <w:szCs w:val="15"/>
                <w:color w:val="auto"/>
              </w:rPr>
            </w:pPr>
          </w:p>
        </w:tc>
        <w:tc>
          <w:tcPr>
            <w:tcW w:w="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262626"/>
              </w:rPr>
              <w:t>​</w:t>
            </w:r>
          </w:p>
        </w:tc>
        <w:tc>
          <w:tcPr>
            <w:tcW w:w="1200" w:type="dxa"/>
            <w:vAlign w:val="bottom"/>
            <w:tcBorders>
              <w:top w:val="single" w:sz="8" w:color="464646"/>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23"/>
        </w:trPr>
        <w:tc>
          <w:tcPr>
            <w:tcW w:w="1200" w:type="dxa"/>
            <w:vAlign w:val="bottom"/>
            <w:tcBorders>
              <w:bottom w:val="single" w:sz="8" w:color="464646"/>
            </w:tcBorders>
          </w:tcPr>
          <w:p>
            <w:pPr>
              <w:spacing w:after="0"/>
              <w:rPr>
                <w:sz w:val="2"/>
                <w:szCs w:val="2"/>
                <w:color w:val="auto"/>
              </w:rPr>
            </w:pPr>
          </w:p>
        </w:tc>
        <w:tc>
          <w:tcPr>
            <w:tcW w:w="1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262626"/>
              </w:rPr>
              <w:t>​</w:t>
            </w:r>
          </w:p>
        </w:tc>
        <w:tc>
          <w:tcPr>
            <w:tcW w:w="1200" w:type="dxa"/>
            <w:vAlign w:val="bottom"/>
            <w:tcBorders>
              <w:bottom w:val="single" w:sz="8" w:color="464646"/>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262626"/>
              </w:rPr>
              <w:t>​</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200" w:type="dxa"/>
            <w:vAlign w:val="bottom"/>
            <w:tcBorders>
              <w:bottom w:val="single" w:sz="8" w:color="464646"/>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464646"/>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105,362,228</w:t>
            </w:r>
          </w:p>
        </w:tc>
        <w:tc>
          <w:tcPr>
            <w:tcW w:w="14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105,296,833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0" w:type="dxa"/>
            <w:vAlign w:val="bottom"/>
            <w:tcBorders>
              <w:bottom w:val="single" w:sz="8" w:color="464646"/>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tcBorders>
              <w:bottom w:val="single" w:sz="8" w:color="464646"/>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(0.13)</w:t>
            </w:r>
          </w:p>
        </w:tc>
        <w:tc>
          <w:tcPr>
            <w:tcW w:w="14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62626"/>
              </w:rPr>
              <w:t>(0.13)</w:t>
            </w: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62626"/>
              </w:rPr>
              <w:t>(0.10)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sectPr>
          <w:pgSz w:w="11900" w:h="16838" w:orient="portrait"/>
          <w:cols w:equalWidth="0" w:num="2">
            <w:col w:w="5380" w:space="720"/>
            <w:col w:w="2919"/>
          </w:cols>
          <w:pgMar w:left="1440" w:top="783" w:right="1440" w:bottom="1440" w:gutter="0" w:footer="0" w:header="0"/>
          <w:type w:val="continuous"/>
        </w:sectPr>
      </w:pPr>
    </w:p>
    <w:p>
      <w:pPr>
        <w:ind w:left="700" w:right="459" w:hanging="326"/>
        <w:spacing w:after="0" w:line="299" w:lineRule="auto"/>
        <w:tabs>
          <w:tab w:leader="none" w:pos="700" w:val="left"/>
        </w:tabs>
        <w:numPr>
          <w:ilvl w:val="0"/>
          <w:numId w:val="25"/>
        </w:numPr>
        <w:rPr>
          <w:rFonts w:ascii="Times New Roman" w:cs="Times New Roman" w:eastAsia="Times New Roman" w:hAnsi="Times New Roman"/>
          <w:sz w:val="13"/>
          <w:szCs w:val="13"/>
          <w:color w:val="262626"/>
        </w:rPr>
      </w:pPr>
      <w:r>
        <w:rPr>
          <w:rFonts w:ascii="Times New Roman" w:cs="Times New Roman" w:eastAsia="Times New Roman" w:hAnsi="Times New Roman"/>
          <w:sz w:val="13"/>
          <w:szCs w:val="13"/>
          <w:color w:val="262626"/>
        </w:rPr>
        <w:t>For these periods the potential exercise of share options is not included in the diluted earnings per share as the Company was loss-making. Due to the anti-dilutive nature of the outstanding options, basic and diluted earnings per share are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4603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60365" cy="2603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1"/>
          <w:szCs w:val="21"/>
          <w:b w:val="1"/>
          <w:bCs w:val="1"/>
          <w:color w:val="auto"/>
        </w:rPr>
        <w:t>PROQR THERAPEUTICS N.V.</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Condensed Consolidated Statement of Changes in Equity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600" w:type="dxa"/>
            <w:vAlign w:val="bottom"/>
            <w:tcBorders>
              <w:top w:val="single" w:sz="8" w:color="00AAA1"/>
              <w:bottom w:val="single" w:sz="8" w:color="464646"/>
            </w:tcBorders>
          </w:tcPr>
          <w:p>
            <w:pPr>
              <w:spacing w:after="0"/>
              <w:rPr>
                <w:sz w:val="18"/>
                <w:szCs w:val="18"/>
                <w:color w:val="auto"/>
              </w:rPr>
            </w:pPr>
          </w:p>
        </w:tc>
        <w:tc>
          <w:tcPr>
            <w:tcW w:w="220" w:type="dxa"/>
            <w:vAlign w:val="bottom"/>
            <w:tcBorders>
              <w:top w:val="single" w:sz="8" w:color="00AAA1"/>
            </w:tcBorders>
          </w:tcPr>
          <w:p>
            <w:pPr>
              <w:spacing w:after="0"/>
              <w:rPr>
                <w:sz w:val="18"/>
                <w:szCs w:val="18"/>
                <w:color w:val="auto"/>
              </w:rPr>
            </w:pPr>
          </w:p>
        </w:tc>
        <w:tc>
          <w:tcPr>
            <w:tcW w:w="840" w:type="dxa"/>
            <w:vAlign w:val="bottom"/>
            <w:tcBorders>
              <w:top w:val="single" w:sz="8" w:color="00AAA1"/>
              <w:bottom w:val="single" w:sz="8" w:color="464646"/>
            </w:tcBorders>
          </w:tcPr>
          <w:p>
            <w:pPr>
              <w:spacing w:after="0"/>
              <w:rPr>
                <w:sz w:val="18"/>
                <w:szCs w:val="18"/>
                <w:color w:val="auto"/>
              </w:rPr>
            </w:pPr>
          </w:p>
        </w:tc>
        <w:tc>
          <w:tcPr>
            <w:tcW w:w="100" w:type="dxa"/>
            <w:vAlign w:val="bottom"/>
            <w:tcBorders>
              <w:top w:val="single" w:sz="8" w:color="00AAA1"/>
              <w:bottom w:val="single" w:sz="8" w:color="464646"/>
            </w:tcBorders>
          </w:tcPr>
          <w:p>
            <w:pPr>
              <w:spacing w:after="0"/>
              <w:rPr>
                <w:sz w:val="18"/>
                <w:szCs w:val="18"/>
                <w:color w:val="auto"/>
              </w:rPr>
            </w:pPr>
          </w:p>
        </w:tc>
        <w:tc>
          <w:tcPr>
            <w:tcW w:w="3780" w:type="dxa"/>
            <w:vAlign w:val="bottom"/>
            <w:tcBorders>
              <w:top w:val="single" w:sz="8" w:color="00AAA1"/>
              <w:bottom w:val="single" w:sz="8" w:color="464646"/>
            </w:tcBorders>
            <w:gridSpan w:val="9"/>
          </w:tcPr>
          <w:p>
            <w:pPr>
              <w:ind w:left="720"/>
              <w:spacing w:after="0"/>
              <w:rPr>
                <w:sz w:val="20"/>
                <w:szCs w:val="20"/>
                <w:color w:val="auto"/>
              </w:rPr>
            </w:pPr>
            <w:r>
              <w:rPr>
                <w:rFonts w:ascii="Times New Roman" w:cs="Times New Roman" w:eastAsia="Times New Roman" w:hAnsi="Times New Roman"/>
                <w:sz w:val="14"/>
                <w:szCs w:val="14"/>
                <w:b w:val="1"/>
                <w:bCs w:val="1"/>
                <w:color w:val="262626"/>
              </w:rPr>
              <w:t>Attributable to owners of the Company</w:t>
            </w:r>
          </w:p>
        </w:tc>
        <w:tc>
          <w:tcPr>
            <w:tcW w:w="60" w:type="dxa"/>
            <w:vAlign w:val="bottom"/>
            <w:tcBorders>
              <w:top w:val="single" w:sz="8" w:color="00AAA1"/>
              <w:bottom w:val="single" w:sz="8" w:color="464646"/>
            </w:tcBorders>
          </w:tcPr>
          <w:p>
            <w:pPr>
              <w:spacing w:after="0"/>
              <w:rPr>
                <w:sz w:val="18"/>
                <w:szCs w:val="18"/>
                <w:color w:val="auto"/>
              </w:rPr>
            </w:pPr>
          </w:p>
        </w:tc>
        <w:tc>
          <w:tcPr>
            <w:tcW w:w="880" w:type="dxa"/>
            <w:vAlign w:val="bottom"/>
            <w:tcBorders>
              <w:top w:val="single" w:sz="8" w:color="00AAA1"/>
              <w:bottom w:val="single" w:sz="8" w:color="464646"/>
            </w:tcBorders>
          </w:tcPr>
          <w:p>
            <w:pPr>
              <w:spacing w:after="0"/>
              <w:rPr>
                <w:sz w:val="18"/>
                <w:szCs w:val="18"/>
                <w:color w:val="auto"/>
              </w:rPr>
            </w:pPr>
          </w:p>
        </w:tc>
        <w:tc>
          <w:tcPr>
            <w:tcW w:w="100" w:type="dxa"/>
            <w:vAlign w:val="bottom"/>
            <w:tcBorders>
              <w:top w:val="single" w:sz="8" w:color="00AAA1"/>
              <w:bottom w:val="single" w:sz="8" w:color="464646"/>
            </w:tcBorders>
          </w:tcPr>
          <w:p>
            <w:pPr>
              <w:spacing w:after="0"/>
              <w:rPr>
                <w:sz w:val="18"/>
                <w:szCs w:val="18"/>
                <w:color w:val="auto"/>
              </w:rPr>
            </w:pPr>
          </w:p>
        </w:tc>
        <w:tc>
          <w:tcPr>
            <w:tcW w:w="840" w:type="dxa"/>
            <w:vAlign w:val="bottom"/>
            <w:tcBorders>
              <w:top w:val="single" w:sz="8" w:color="00AAA1"/>
              <w:bottom w:val="single" w:sz="8" w:color="46464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262626"/>
              </w:rPr>
              <w:t xml:space="preserve">Number </w:t>
            </w:r>
            <w:r>
              <w:rPr>
                <w:rFonts w:ascii="Times New Roman" w:cs="Times New Roman" w:eastAsia="Times New Roman" w:hAnsi="Times New Roman"/>
                <w:sz w:val="14"/>
                <w:szCs w:val="14"/>
                <w:b w:val="1"/>
                <w:bCs w:val="1"/>
                <w:color w:val="FFFFFF"/>
              </w:rPr>
              <w:t>​</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262626"/>
              </w:rPr>
              <w:t xml:space="preserve">Share </w:t>
            </w:r>
            <w:r>
              <w:rPr>
                <w:rFonts w:ascii="Times New Roman" w:cs="Times New Roman" w:eastAsia="Times New Roman" w:hAnsi="Times New Roman"/>
                <w:sz w:val="14"/>
                <w:szCs w:val="14"/>
                <w:b w:val="1"/>
                <w:bCs w:val="1"/>
                <w:color w:val="FFFFFF"/>
              </w:rPr>
              <w:t>​</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262626"/>
              </w:rPr>
              <w:t>Share</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FFFFFF"/>
              </w:rPr>
              <w:t>​</w:t>
            </w:r>
            <w:r>
              <w:rPr>
                <w:rFonts w:ascii="Times New Roman" w:cs="Times New Roman" w:eastAsia="Times New Roman" w:hAnsi="Times New Roman"/>
                <w:sz w:val="14"/>
                <w:szCs w:val="14"/>
                <w:b w:val="1"/>
                <w:bCs w:val="1"/>
                <w:color w:val="262626"/>
              </w:rPr>
              <w:t>Equity settled</w:t>
            </w:r>
            <w:r>
              <w:rPr>
                <w:rFonts w:ascii="Times New Roman" w:cs="Times New Roman" w:eastAsia="Times New Roman" w:hAnsi="Times New Roman"/>
                <w:sz w:val="14"/>
                <w:szCs w:val="14"/>
                <w:b w:val="1"/>
                <w:bCs w:val="1"/>
                <w:color w:val="FFFFFF"/>
              </w:rPr>
              <w:t xml:space="preserve"> ​</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262626"/>
              </w:rPr>
              <w:t>Translation</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FFFFFF"/>
              </w:rPr>
              <w:t>​</w:t>
            </w:r>
            <w:r>
              <w:rPr>
                <w:rFonts w:ascii="Times New Roman" w:cs="Times New Roman" w:eastAsia="Times New Roman" w:hAnsi="Times New Roman"/>
                <w:sz w:val="14"/>
                <w:szCs w:val="14"/>
                <w:b w:val="1"/>
                <w:bCs w:val="1"/>
                <w:color w:val="262626"/>
              </w:rPr>
              <w:t>Accumulated</w:t>
            </w:r>
            <w:r>
              <w:rPr>
                <w:rFonts w:ascii="Times New Roman" w:cs="Times New Roman" w:eastAsia="Times New Roman" w:hAnsi="Times New Roman"/>
                <w:sz w:val="14"/>
                <w:szCs w:val="14"/>
                <w:b w:val="1"/>
                <w:bCs w:val="1"/>
                <w:color w:val="FFFFFF"/>
              </w:rPr>
              <w:t xml:space="preserve">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262626"/>
              </w:rPr>
              <w:t>of shares</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262626"/>
              </w:rPr>
              <w:t>Capital</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262626"/>
              </w:rPr>
              <w:t>Premium</w:t>
            </w:r>
          </w:p>
        </w:tc>
        <w:tc>
          <w:tcPr>
            <w:tcW w:w="60" w:type="dxa"/>
            <w:vAlign w:val="bottom"/>
          </w:tcPr>
          <w:p>
            <w:pPr>
              <w:spacing w:after="0"/>
              <w:rPr>
                <w:sz w:val="17"/>
                <w:szCs w:val="17"/>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262626"/>
              </w:rPr>
              <w:t>Employee</w:t>
            </w:r>
          </w:p>
        </w:tc>
        <w:tc>
          <w:tcPr>
            <w:tcW w:w="8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262626"/>
              </w:rPr>
              <w:t>Reserve</w:t>
            </w:r>
          </w:p>
        </w:tc>
        <w:tc>
          <w:tcPr>
            <w:tcW w:w="60" w:type="dxa"/>
            <w:vAlign w:val="bottom"/>
          </w:tcPr>
          <w:p>
            <w:pPr>
              <w:spacing w:after="0"/>
              <w:rPr>
                <w:sz w:val="17"/>
                <w:szCs w:val="17"/>
                <w:color w:val="auto"/>
              </w:rPr>
            </w:pP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262626"/>
              </w:rPr>
              <w:t>Deficit</w:t>
            </w:r>
          </w:p>
        </w:tc>
        <w:tc>
          <w:tcPr>
            <w:tcW w:w="860" w:type="dxa"/>
            <w:vAlign w:val="bottom"/>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262626"/>
              </w:rPr>
              <w:t>Equity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FFFFFF"/>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262626"/>
              </w:rPr>
              <w:t>Benefit</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262626"/>
              </w:rPr>
              <w:t>Reserve</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00" w:type="dxa"/>
            <w:vAlign w:val="bottom"/>
            <w:tcBorders>
              <w:top w:val="single" w:sz="8" w:color="464646"/>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464646"/>
              <w:bottom w:val="single" w:sz="8" w:color="464646"/>
            </w:tcBorders>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262626"/>
              </w:rPr>
              <w:t>​</w:t>
            </w:r>
          </w:p>
        </w:tc>
        <w:tc>
          <w:tcPr>
            <w:tcW w:w="84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00" w:type="dxa"/>
            <w:vAlign w:val="bottom"/>
          </w:tcPr>
          <w:p>
            <w:pPr>
              <w:spacing w:after="0"/>
              <w:rPr>
                <w:sz w:val="16"/>
                <w:szCs w:val="16"/>
                <w:color w:val="auto"/>
              </w:rPr>
            </w:pPr>
          </w:p>
        </w:tc>
        <w:tc>
          <w:tcPr>
            <w:tcW w:w="84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00" w:type="dxa"/>
            <w:vAlign w:val="bottom"/>
          </w:tcPr>
          <w:p>
            <w:pPr>
              <w:spacing w:after="0"/>
              <w:rPr>
                <w:sz w:val="16"/>
                <w:szCs w:val="16"/>
                <w:color w:val="auto"/>
              </w:rPr>
            </w:pPr>
          </w:p>
        </w:tc>
        <w:tc>
          <w:tcPr>
            <w:tcW w:w="84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00" w:type="dxa"/>
            <w:vAlign w:val="bottom"/>
          </w:tcPr>
          <w:p>
            <w:pPr>
              <w:spacing w:after="0"/>
              <w:rPr>
                <w:sz w:val="16"/>
                <w:szCs w:val="16"/>
                <w:color w:val="auto"/>
              </w:rPr>
            </w:pPr>
          </w:p>
        </w:tc>
        <w:tc>
          <w:tcPr>
            <w:tcW w:w="840" w:type="dxa"/>
            <w:vAlign w:val="bottom"/>
            <w:tcBorders>
              <w:top w:val="single" w:sz="8" w:color="464646"/>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262626"/>
              </w:rPr>
              <w:t>Balance at January 1, 2025</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107,710,916</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4,308</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483,812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26,248</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1,350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(427,158)</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88,560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Result for the period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(10,079)</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(10,079)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Other comprehensive income</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(371)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(371)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Recognition of share-based payments</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758</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Treasury shares transferred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(130,436)</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Share options lapsed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(826)</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826</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Share options exercised / RSUs vested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130,436</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67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(180)</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180</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262626"/>
              </w:rPr>
              <w:t>Balance at March 31, 2025</w:t>
            </w:r>
          </w:p>
        </w:tc>
        <w:tc>
          <w:tcPr>
            <w:tcW w:w="22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107,710,916</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4,308</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483,879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26,000</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979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(436,231)</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78,935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46464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262626"/>
              </w:rPr>
              <w:t>Balance at January 1, 2026</w:t>
            </w:r>
          </w:p>
        </w:tc>
        <w:tc>
          <w:tcPr>
            <w:tcW w:w="22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107,710,916</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4,308</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483,881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28,426</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265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(467,506)</w:t>
            </w:r>
          </w:p>
        </w:tc>
        <w:tc>
          <w:tcPr>
            <w:tcW w:w="100" w:type="dxa"/>
            <w:vAlign w:val="bottom"/>
          </w:tcPr>
          <w:p>
            <w:pPr>
              <w:spacing w:after="0"/>
              <w:rPr>
                <w:sz w:val="16"/>
                <w:szCs w:val="16"/>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49,374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Result for the period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(13,383)</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(13,383)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Other comprehensive income</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Recognition of share-based payments</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1,428</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Treasury shares transferred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(1,091)</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Share options lapsed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(1,994)</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1,994</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262626"/>
              </w:rPr>
              <w:t>Share options exercised / RSUs vested</w:t>
            </w:r>
          </w:p>
        </w:tc>
        <w:tc>
          <w:tcPr>
            <w:tcW w:w="22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1,091</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1</w:t>
            </w:r>
          </w:p>
        </w:tc>
        <w:tc>
          <w:tcPr>
            <w:tcW w:w="100" w:type="dxa"/>
            <w:vAlign w:val="bottom"/>
          </w:tcPr>
          <w:p>
            <w:pPr>
              <w:spacing w:after="0"/>
              <w:rPr>
                <w:sz w:val="17"/>
                <w:szCs w:val="17"/>
                <w:color w:val="auto"/>
              </w:rPr>
            </w:pPr>
          </w:p>
        </w:tc>
        <w:tc>
          <w:tcPr>
            <w:tcW w:w="84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color w:val="262626"/>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8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8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840" w:type="dxa"/>
            <w:vAlign w:val="bottom"/>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262626"/>
              </w:rPr>
              <w:t>​</w:t>
            </w:r>
          </w:p>
        </w:tc>
        <w:tc>
          <w:tcPr>
            <w:tcW w:w="840" w:type="dxa"/>
            <w:vAlign w:val="bottom"/>
          </w:tcPr>
          <w:p>
            <w:pPr>
              <w:spacing w:after="0"/>
              <w:rPr>
                <w:sz w:val="15"/>
                <w:szCs w:val="15"/>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262626"/>
                <w:w w:val="4294942296"/>
              </w:rPr>
              <w:t>​</w:t>
            </w:r>
          </w:p>
        </w:tc>
        <w:tc>
          <w:tcPr>
            <w:tcW w:w="0" w:type="dxa"/>
            <w:vAlign w:val="bottom"/>
          </w:tcPr>
          <w:p>
            <w:pPr>
              <w:spacing w:after="0"/>
              <w:rPr>
                <w:sz w:val="1"/>
                <w:szCs w:val="1"/>
                <w:color w:val="auto"/>
              </w:rPr>
            </w:pPr>
          </w:p>
        </w:tc>
      </w:tr>
      <w:tr>
        <w:trPr>
          <w:trHeight w:val="23"/>
        </w:trPr>
        <w:tc>
          <w:tcPr>
            <w:tcW w:w="26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tcBorders>
              <w:top w:val="single" w:sz="8" w:color="464646"/>
              <w:bottom w:val="single" w:sz="8" w:color="22A49B"/>
            </w:tcBorders>
          </w:tcPr>
          <w:p>
            <w:pPr>
              <w:spacing w:after="0"/>
              <w:rPr>
                <w:sz w:val="20"/>
                <w:szCs w:val="20"/>
                <w:color w:val="auto"/>
              </w:rPr>
            </w:pPr>
            <w:r>
              <w:rPr>
                <w:rFonts w:ascii="Times New Roman" w:cs="Times New Roman" w:eastAsia="Times New Roman" w:hAnsi="Times New Roman"/>
                <w:sz w:val="14"/>
                <w:szCs w:val="14"/>
                <w:b w:val="1"/>
                <w:bCs w:val="1"/>
                <w:color w:val="262626"/>
              </w:rPr>
              <w:t>Balance at March 31, 2026</w:t>
            </w:r>
          </w:p>
        </w:tc>
        <w:tc>
          <w:tcPr>
            <w:tcW w:w="220" w:type="dxa"/>
            <w:vAlign w:val="bottom"/>
            <w:tcBorders>
              <w:bottom w:val="single" w:sz="8" w:color="22A49B"/>
            </w:tcBorders>
          </w:tcPr>
          <w:p>
            <w:pPr>
              <w:spacing w:after="0"/>
              <w:rPr>
                <w:sz w:val="17"/>
                <w:szCs w:val="17"/>
                <w:color w:val="auto"/>
              </w:rPr>
            </w:pPr>
          </w:p>
        </w:tc>
        <w:tc>
          <w:tcPr>
            <w:tcW w:w="84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107,710,916</w:t>
            </w:r>
          </w:p>
        </w:tc>
        <w:tc>
          <w:tcPr>
            <w:tcW w:w="100" w:type="dxa"/>
            <w:vAlign w:val="bottom"/>
            <w:tcBorders>
              <w:bottom w:val="single" w:sz="8" w:color="22A49B"/>
            </w:tcBorders>
          </w:tcPr>
          <w:p>
            <w:pPr>
              <w:spacing w:after="0"/>
              <w:rPr>
                <w:sz w:val="17"/>
                <w:szCs w:val="17"/>
                <w:color w:val="auto"/>
              </w:rPr>
            </w:pPr>
          </w:p>
        </w:tc>
        <w:tc>
          <w:tcPr>
            <w:tcW w:w="84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4,308</w:t>
            </w:r>
          </w:p>
        </w:tc>
        <w:tc>
          <w:tcPr>
            <w:tcW w:w="100" w:type="dxa"/>
            <w:vAlign w:val="bottom"/>
            <w:tcBorders>
              <w:bottom w:val="single" w:sz="8" w:color="22A49B"/>
            </w:tcBorders>
          </w:tcPr>
          <w:p>
            <w:pPr>
              <w:spacing w:after="0"/>
              <w:rPr>
                <w:sz w:val="17"/>
                <w:szCs w:val="17"/>
                <w:color w:val="auto"/>
              </w:rPr>
            </w:pPr>
          </w:p>
        </w:tc>
        <w:tc>
          <w:tcPr>
            <w:tcW w:w="84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483,881</w:t>
            </w:r>
          </w:p>
        </w:tc>
        <w:tc>
          <w:tcPr>
            <w:tcW w:w="40" w:type="dxa"/>
            <w:vAlign w:val="bottom"/>
            <w:tcBorders>
              <w:bottom w:val="single" w:sz="8" w:color="22A49B"/>
            </w:tcBorders>
          </w:tcPr>
          <w:p>
            <w:pPr>
              <w:spacing w:after="0"/>
              <w:rPr>
                <w:sz w:val="17"/>
                <w:szCs w:val="17"/>
                <w:color w:val="auto"/>
              </w:rPr>
            </w:pPr>
          </w:p>
        </w:tc>
        <w:tc>
          <w:tcPr>
            <w:tcW w:w="60" w:type="dxa"/>
            <w:vAlign w:val="bottom"/>
            <w:tcBorders>
              <w:bottom w:val="single" w:sz="8" w:color="22A49B"/>
            </w:tcBorders>
          </w:tcPr>
          <w:p>
            <w:pPr>
              <w:spacing w:after="0"/>
              <w:rPr>
                <w:sz w:val="17"/>
                <w:szCs w:val="17"/>
                <w:color w:val="auto"/>
              </w:rPr>
            </w:pPr>
          </w:p>
        </w:tc>
        <w:tc>
          <w:tcPr>
            <w:tcW w:w="92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27,859</w:t>
            </w:r>
          </w:p>
        </w:tc>
        <w:tc>
          <w:tcPr>
            <w:tcW w:w="100" w:type="dxa"/>
            <w:vAlign w:val="bottom"/>
            <w:tcBorders>
              <w:bottom w:val="single" w:sz="8" w:color="22A49B"/>
            </w:tcBorders>
          </w:tcPr>
          <w:p>
            <w:pPr>
              <w:spacing w:after="0"/>
              <w:rPr>
                <w:sz w:val="17"/>
                <w:szCs w:val="17"/>
                <w:color w:val="auto"/>
              </w:rPr>
            </w:pPr>
          </w:p>
        </w:tc>
        <w:tc>
          <w:tcPr>
            <w:tcW w:w="84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444</w:t>
            </w:r>
          </w:p>
        </w:tc>
        <w:tc>
          <w:tcPr>
            <w:tcW w:w="40" w:type="dxa"/>
            <w:vAlign w:val="bottom"/>
            <w:tcBorders>
              <w:bottom w:val="single" w:sz="8" w:color="22A49B"/>
            </w:tcBorders>
          </w:tcPr>
          <w:p>
            <w:pPr>
              <w:spacing w:after="0"/>
              <w:rPr>
                <w:sz w:val="17"/>
                <w:szCs w:val="17"/>
                <w:color w:val="auto"/>
              </w:rPr>
            </w:pPr>
          </w:p>
        </w:tc>
        <w:tc>
          <w:tcPr>
            <w:tcW w:w="60" w:type="dxa"/>
            <w:vAlign w:val="bottom"/>
            <w:tcBorders>
              <w:bottom w:val="single" w:sz="8" w:color="22A49B"/>
            </w:tcBorders>
          </w:tcPr>
          <w:p>
            <w:pPr>
              <w:spacing w:after="0"/>
              <w:rPr>
                <w:sz w:val="17"/>
                <w:szCs w:val="17"/>
                <w:color w:val="auto"/>
              </w:rPr>
            </w:pPr>
          </w:p>
        </w:tc>
        <w:tc>
          <w:tcPr>
            <w:tcW w:w="88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(478,894)</w:t>
            </w:r>
          </w:p>
        </w:tc>
        <w:tc>
          <w:tcPr>
            <w:tcW w:w="100" w:type="dxa"/>
            <w:vAlign w:val="bottom"/>
            <w:tcBorders>
              <w:bottom w:val="single" w:sz="8" w:color="22A49B"/>
            </w:tcBorders>
          </w:tcPr>
          <w:p>
            <w:pPr>
              <w:spacing w:after="0"/>
              <w:rPr>
                <w:sz w:val="17"/>
                <w:szCs w:val="17"/>
                <w:color w:val="auto"/>
              </w:rPr>
            </w:pPr>
          </w:p>
        </w:tc>
        <w:tc>
          <w:tcPr>
            <w:tcW w:w="840" w:type="dxa"/>
            <w:vAlign w:val="bottom"/>
            <w:tcBorders>
              <w:top w:val="single" w:sz="8" w:color="464646"/>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262626"/>
              </w:rPr>
              <w:t>37,598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60"/>
          </w:cols>
          <w:pgMar w:left="1220" w:top="783" w:right="1219" w:bottom="1440" w:gutter="0" w:footer="0" w:header="0"/>
        </w:sectPr>
      </w:pPr>
    </w:p>
    <w:bookmarkStart w:id="29" w:name="page30"/>
    <w:bookmarkEnd w:id="29"/>
    <w:p>
      <w:pPr>
        <w:ind w:left="60"/>
        <w:spacing w:after="0"/>
        <w:rPr>
          <w:sz w:val="20"/>
          <w:szCs w:val="20"/>
          <w:color w:val="auto"/>
        </w:rPr>
      </w:pPr>
      <w:r>
        <w:rPr>
          <w:rFonts w:ascii="Arial" w:cs="Arial" w:eastAsia="Arial" w:hAnsi="Arial"/>
          <w:sz w:val="21"/>
          <w:szCs w:val="21"/>
          <w:b w:val="1"/>
          <w:bCs w:val="1"/>
          <w:color w:val="auto"/>
        </w:rPr>
        <w:t>PROQR THERAPEUTICS N.V.</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Unaudited Condensed Consolidated Statement of Cash Flows</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6040" w:type="dxa"/>
            <w:vAlign w:val="bottom"/>
            <w:tcBorders>
              <w:top w:val="single" w:sz="8" w:color="00AAA1"/>
            </w:tcBorders>
          </w:tcPr>
          <w:p>
            <w:pPr>
              <w:spacing w:after="0"/>
              <w:rPr>
                <w:sz w:val="17"/>
                <w:szCs w:val="17"/>
                <w:color w:val="auto"/>
              </w:rPr>
            </w:pPr>
          </w:p>
        </w:tc>
        <w:tc>
          <w:tcPr>
            <w:tcW w:w="320" w:type="dxa"/>
            <w:vAlign w:val="bottom"/>
            <w:tcBorders>
              <w:top w:val="single" w:sz="8" w:color="00AAA1"/>
            </w:tcBorders>
          </w:tcPr>
          <w:p>
            <w:pPr>
              <w:spacing w:after="0"/>
              <w:rPr>
                <w:sz w:val="17"/>
                <w:szCs w:val="17"/>
                <w:color w:val="auto"/>
              </w:rPr>
            </w:pPr>
          </w:p>
        </w:tc>
        <w:tc>
          <w:tcPr>
            <w:tcW w:w="1200" w:type="dxa"/>
            <w:vAlign w:val="bottom"/>
            <w:tcBorders>
              <w:top w:val="single" w:sz="8" w:color="00AAA1"/>
            </w:tcBorders>
          </w:tcPr>
          <w:p>
            <w:pPr>
              <w:spacing w:after="0"/>
              <w:rPr>
                <w:sz w:val="17"/>
                <w:szCs w:val="17"/>
                <w:color w:val="auto"/>
              </w:rPr>
            </w:pPr>
          </w:p>
        </w:tc>
        <w:tc>
          <w:tcPr>
            <w:tcW w:w="1340" w:type="dxa"/>
            <w:vAlign w:val="bottom"/>
            <w:tcBorders>
              <w:top w:val="single" w:sz="8" w:color="00AAA1"/>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 period</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23"/>
        </w:trPr>
        <w:tc>
          <w:tcPr>
            <w:tcW w:w="6040" w:type="dxa"/>
            <w:vAlign w:val="bottom"/>
            <w:tcBorders>
              <w:bottom w:val="single" w:sz="8" w:color="464646"/>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464646"/>
            </w:tcBorders>
          </w:tcPr>
          <w:p>
            <w:pPr>
              <w:spacing w:after="0"/>
              <w:rPr>
                <w:sz w:val="2"/>
                <w:szCs w:val="2"/>
                <w:color w:val="auto"/>
              </w:rPr>
            </w:pPr>
          </w:p>
        </w:tc>
        <w:tc>
          <w:tcPr>
            <w:tcW w:w="140" w:type="dxa"/>
            <w:vAlign w:val="bottom"/>
            <w:tcBorders>
              <w:bottom w:val="single" w:sz="8" w:color="464646"/>
            </w:tcBorders>
          </w:tcPr>
          <w:p>
            <w:pPr>
              <w:spacing w:after="0"/>
              <w:rPr>
                <w:sz w:val="2"/>
                <w:szCs w:val="2"/>
                <w:color w:val="auto"/>
              </w:rPr>
            </w:pPr>
          </w:p>
        </w:tc>
        <w:tc>
          <w:tcPr>
            <w:tcW w:w="1200" w:type="dxa"/>
            <w:vAlign w:val="bottom"/>
            <w:tcBorders>
              <w:bottom w:val="single" w:sz="8" w:color="464646"/>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1200" w:type="dxa"/>
            <w:vAlign w:val="bottom"/>
            <w:tcBorders>
              <w:bottom w:val="single" w:sz="8" w:color="464646"/>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62626"/>
              </w:rPr>
              <w:t>€1</w:t>
            </w:r>
            <w:r>
              <w:rPr>
                <w:rFonts w:ascii="Times New Roman" w:cs="Times New Roman" w:eastAsia="Times New Roman" w:hAnsi="Times New Roman"/>
                <w:sz w:val="14"/>
                <w:szCs w:val="14"/>
                <w:i w:val="1"/>
                <w:iCs w:val="1"/>
                <w:color w:val="262626"/>
              </w:rPr>
              <w:t>,000</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spacing w:after="0"/>
              <w:rPr>
                <w:sz w:val="17"/>
                <w:szCs w:val="17"/>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result</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(13,383)</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Other income</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Depreciation</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Share-based compensation</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Financial income and expenses</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Results related to financial liabilities measured at fair value through profit or loss</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Income tax expenses</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Changes in working capital</w:t>
            </w:r>
          </w:p>
        </w:tc>
        <w:tc>
          <w:tcPr>
            <w:tcW w:w="3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(6,721)</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Cash used in operations</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(11,465)</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(16,376)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Corporate income tax paid</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received</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operating activities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(11,145)</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(15,798)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(164)</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2"/>
                <w:szCs w:val="2"/>
                <w:color w:val="auto"/>
              </w:rPr>
            </w:pPr>
          </w:p>
        </w:tc>
        <w:tc>
          <w:tcPr>
            <w:tcW w:w="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Proceeds from exercise of share options</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Repayment of lease liability</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(304)</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(500)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(11,613)</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3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Currency effect cash and cash equivalents</w:t>
            </w:r>
          </w:p>
        </w:tc>
        <w:tc>
          <w:tcPr>
            <w:tcW w:w="32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32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92,413</w:t>
            </w:r>
          </w:p>
        </w:tc>
        <w:tc>
          <w:tcPr>
            <w:tcW w:w="1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5"/>
                <w:szCs w:val="15"/>
                <w:color w:val="auto"/>
              </w:rPr>
            </w:pPr>
          </w:p>
        </w:tc>
        <w:tc>
          <w:tcPr>
            <w:tcW w:w="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6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22A49B"/>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the end of the period</w:t>
            </w:r>
          </w:p>
        </w:tc>
        <w:tc>
          <w:tcPr>
            <w:tcW w:w="320" w:type="dxa"/>
            <w:vAlign w:val="bottom"/>
            <w:tcBorders>
              <w:bottom w:val="single" w:sz="8" w:color="22A49B"/>
            </w:tcBorders>
          </w:tcPr>
          <w:p>
            <w:pPr>
              <w:spacing w:after="0"/>
              <w:rPr>
                <w:sz w:val="17"/>
                <w:szCs w:val="17"/>
                <w:color w:val="auto"/>
              </w:rPr>
            </w:pPr>
          </w:p>
        </w:tc>
        <w:tc>
          <w:tcPr>
            <w:tcW w:w="120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81,088</w:t>
            </w:r>
          </w:p>
        </w:tc>
        <w:tc>
          <w:tcPr>
            <w:tcW w:w="140" w:type="dxa"/>
            <w:vAlign w:val="bottom"/>
            <w:tcBorders>
              <w:bottom w:val="single" w:sz="8" w:color="22A49B"/>
            </w:tcBorders>
          </w:tcPr>
          <w:p>
            <w:pPr>
              <w:spacing w:after="0"/>
              <w:rPr>
                <w:sz w:val="17"/>
                <w:szCs w:val="17"/>
                <w:color w:val="auto"/>
              </w:rPr>
            </w:pPr>
          </w:p>
        </w:tc>
        <w:tc>
          <w:tcPr>
            <w:tcW w:w="1200" w:type="dxa"/>
            <w:vAlign w:val="bottom"/>
            <w:tcBorders>
              <w:bottom w:val="single" w:sz="8" w:color="22A49B"/>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132,414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3"/>
        </w:trPr>
        <w:tc>
          <w:tcPr>
            <w:tcW w:w="6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emdash "/>
      <w:numFmt w:val="bullet"/>
      <w:start w:val="1"/>
    </w:lvl>
  </w:abstractNum>
  <w:abstractNum w:abstractNumId="1">
    <w:nsid w:val="109CF92E"/>
    <w:multiLevelType w:val="hybridMultilevel"/>
    <w:lvl w:ilvl="0">
      <w:lvlJc w:val="left"/>
      <w:lvlText w:val="%1"/>
      <w:numFmt w:val="decimal"/>
      <w:start w:val="54"/>
    </w:lvl>
    <w:lvl w:ilvl="1">
      <w:lvlJc w:val="left"/>
      <w:lvlText w:val="​"/>
      <w:numFmt w:val="bullet"/>
      <w:start w:val="1"/>
    </w:lvl>
  </w:abstractNum>
  <w:abstractNum w:abstractNumId="2">
    <w:nsid w:val="DED7263"/>
    <w:multiLevelType w:val="hybridMultilevel"/>
    <w:lvl w:ilvl="0">
      <w:lvlJc w:val="left"/>
      <w:lvlText w:val="%1"/>
      <w:numFmt w:val="decimal"/>
      <w:start w:val="179"/>
    </w:lvl>
    <w:lvl w:ilvl="1">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emdash "/>
      <w:numFmt w:val="bullet"/>
      <w:start w:val="1"/>
    </w:lvl>
  </w:abstractNum>
  <w:abstractNum w:abstractNumId="5">
    <w:nsid w:val="41A7C4C9"/>
    <w:multiLevelType w:val="hybridMultilevel"/>
    <w:lvl w:ilvl="0">
      <w:lvlJc w:val="left"/>
      <w:lvlText w:val="\emdash "/>
      <w:numFmt w:val="bullet"/>
      <w:start w:val="1"/>
    </w:lvl>
  </w:abstractNum>
  <w:abstractNum w:abstractNumId="6">
    <w:nsid w:val="6B68079A"/>
    <w:multiLevelType w:val="hybridMultilevel"/>
    <w:lvl w:ilvl="0">
      <w:lvlJc w:val="left"/>
      <w:lvlText w:val="(%1)"/>
      <w:numFmt w:val="decimal"/>
      <w:start w:val="259"/>
    </w:lvl>
  </w:abstractNum>
  <w:abstractNum w:abstractNumId="7">
    <w:nsid w:val="4E6AFB66"/>
    <w:multiLevelType w:val="hybridMultilevel"/>
    <w:lvl w:ilvl="0">
      <w:lvlJc w:val="left"/>
      <w:lvlText w:val="(%1)"/>
      <w:numFmt w:val="decimal"/>
      <w:start w:val="54"/>
    </w:lvl>
  </w:abstractNum>
  <w:abstractNum w:abstractNumId="8">
    <w:nsid w:val="25E45D32"/>
    <w:multiLevelType w:val="hybridMultilevel"/>
    <w:lvl w:ilvl="0">
      <w:lvlJc w:val="left"/>
      <w:lvlText w:val="%1"/>
      <w:numFmt w:val="decimal"/>
      <w:start w:val="367"/>
    </w:lvl>
    <w:lvl w:ilvl="1">
      <w:lvlJc w:val="left"/>
      <w:lvlText w:val="(%2)"/>
      <w:numFmt w:val="decimal"/>
      <w:start w:val="47"/>
    </w:lvl>
    <w:lvl w:ilvl="2">
      <w:lvlJc w:val="left"/>
      <w:lvlText w:val="​"/>
      <w:numFmt w:val="bullet"/>
      <w:start w:val="1"/>
    </w:lvl>
  </w:abstractNum>
  <w:abstractNum w:abstractNumId="9">
    <w:nsid w:val="519B500D"/>
    <w:multiLevelType w:val="hybridMultilevel"/>
    <w:lvl w:ilvl="0">
      <w:lvlJc w:val="left"/>
      <w:lvlText w:val="(%1)"/>
      <w:numFmt w:val="decimal"/>
      <w:start w:val="164"/>
    </w:lvl>
  </w:abstractNum>
  <w:abstractNum w:abstractNumId="10">
    <w:nsid w:val="431BD7B7"/>
    <w:multiLevelType w:val="hybridMultilevel"/>
    <w:lvl w:ilvl="0">
      <w:lvlJc w:val="left"/>
      <w:lvlText w:val="(%1)"/>
      <w:numFmt w:val="decimal"/>
      <w:start w:val="164"/>
    </w:lvl>
    <w:lvl w:ilvl="1">
      <w:lvlJc w:val="left"/>
      <w:lvlText w:val="​"/>
      <w:numFmt w:val="bullet"/>
      <w:start w:val="1"/>
    </w:lvl>
  </w:abstractNum>
  <w:abstractNum w:abstractNumId="11">
    <w:nsid w:val="3F2DBA31"/>
    <w:multiLevelType w:val="hybridMultilevel"/>
    <w:lvl w:ilvl="0">
      <w:lvlJc w:val="left"/>
      <w:lvlText w:val="(%1)"/>
      <w:numFmt w:val="decimal"/>
      <w:start w:val="304"/>
    </w:lvl>
    <w:lvl w:ilvl="1">
      <w:lvlJc w:val="left"/>
      <w:lvlText w:val="​"/>
      <w:numFmt w:val="bullet"/>
      <w:start w:val="1"/>
    </w:lvl>
  </w:abstractNum>
  <w:abstractNum w:abstractNumId="12">
    <w:nsid w:val="7C83E458"/>
    <w:multiLevelType w:val="hybridMultilevel"/>
    <w:lvl w:ilvl="0">
      <w:lvlJc w:val="left"/>
      <w:lvlText w:val="(%1)"/>
      <w:numFmt w:val="decimal"/>
      <w:start w:val="304"/>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upperLetter"/>
      <w:start w:val="20"/>
    </w:lvl>
  </w:abstractNum>
  <w:abstractNum w:abstractNumId="23">
    <w:nsid w:val="8EDBDAB"/>
    <w:multiLevelType w:val="hybridMultilevel"/>
    <w:lvl w:ilvl="0">
      <w:lvlJc w:val="left"/>
      <w:lvlText w:val="%1:"/>
      <w:numFmt w:val="upperLetter"/>
      <w:start w:val="20"/>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2026-05-12T06:02:56Z</dcterms:created>
  <dcterms:modified xsi:type="dcterms:W3CDTF">2026-05-12T06:02:56Z</dcterms:modified>
</cp:coreProperties>
</file>