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ProQR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Aberdeen Group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8,932,507.00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8,932,507.00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8,932,507.00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abrdn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8,932,507.00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8,932,507.00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8,932,507.00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ProQR Therapeutics NV</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Zernikedreef 9, Leiden, The Netherlands CK 2333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Aberdeen Group plc abrdn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Aberdeen Group plc: 1 George Street Edinburgh, United Kingdom EH2 2LL abrdn Inc.: 1900 Market Street, Suite 200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Aberdeen Group plc - UNITED KINGDOM abrdn Inc. -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EUR0.04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8,932,507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6.33  %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Aberdeen Group plc - 0 abrdn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Aberdeen Group plc - 8,932,507 abrdn Inc. - 8,932,507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Aberdeen Group plc - 0 abrdn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Aberdeen Group plc - 8,932,507 abrdn Inc. - 8,932,507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Aberdeen Group plc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0"/>
        <w:gridCol w:w="4215"/>
      </w:tblGrid>
      <w:tr>
        <w:trPr/>
        <w:tc>
          <w:tcPr>
            <w:tcW w:w="59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R. Chaudhry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Romiza Chaudhry / Major Shareholding Reporting Analyst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15" w:type="dxa"/>
            <w:tcBorders/>
            <w:vAlign w:val="center"/>
          </w:tcPr>
          <w:p>
            <w:pPr>
              <w:pStyle w:val="TableContents"/>
              <w:bidi w:val="0"/>
              <w:spacing w:before="0" w:after="283"/>
              <w:jc w:val="left"/>
              <w:rPr>
                <w:sz w:val="4"/>
                <w:szCs w:val="4"/>
              </w:rPr>
            </w:pPr>
            <w:r>
              <w:rPr>
                <w:sz w:val="4"/>
                <w:szCs w:val="4"/>
              </w:rPr>
            </w:r>
          </w:p>
        </w:tc>
      </w:tr>
    </w:tbl>
    <w:tbl>
      <w:tblPr>
        <w:tblW w:w="2466" w:type="dxa"/>
        <w:jc w:val="left"/>
        <w:tblInd w:w="0" w:type="dxa"/>
        <w:tblLayout w:type="fixed"/>
        <w:tblCellMar>
          <w:top w:w="28" w:type="dxa"/>
          <w:left w:w="28" w:type="dxa"/>
          <w:bottom w:w="28" w:type="dxa"/>
          <w:right w:w="28" w:type="dxa"/>
        </w:tblCellMar>
      </w:tblPr>
      <w:tblGrid>
        <w:gridCol w:w="1233"/>
        <w:gridCol w:w="1233"/>
      </w:tblGrid>
      <w:tr>
        <w:trPr/>
        <w:tc>
          <w:tcPr>
            <w:tcW w:w="1233" w:type="dxa"/>
            <w:tcBorders/>
            <w:vAlign w:val="center"/>
          </w:tcPr>
          <w:p>
            <w:pPr>
              <w:pStyle w:val="TableContents"/>
              <w:bidi w:val="0"/>
              <w:spacing w:before="0" w:after="0"/>
              <w:jc w:val="left"/>
              <w:rPr/>
            </w:pPr>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0"/>
                    <w:jc w:val="left"/>
                    <w:rPr/>
                  </w:pPr>
                  <w:r>
                    <w:rPr/>
                    <w:t>abrdn Inc.</w:t>
                  </w:r>
                </w:p>
              </w:tc>
            </w:tr>
          </w:tbl>
          <w:p>
            <w:pPr>
              <w:pStyle w:val="TableContents"/>
              <w:bidi w:val="0"/>
              <w:spacing w:before="0" w:after="283"/>
              <w:jc w:val="left"/>
              <w:rPr/>
            </w:pPr>
            <w:r>
              <w:rPr/>
            </w:r>
          </w:p>
        </w:tc>
        <w:tc>
          <w:tcPr>
            <w:tcW w:w="1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0"/>
        <w:gridCol w:w="4215"/>
      </w:tblGrid>
      <w:tr>
        <w:trPr/>
        <w:tc>
          <w:tcPr>
            <w:tcW w:w="59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R. Chaudhry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Romiza Chaudhry / Major Shareholding Reporting Analyst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Aberdeen Group plc abrdn Holdings Limited abrdn Inc. Aberdeen Group plc is the parent company. abrdn Holdings Limited is the intermediate holding company for abrdn Inc. abrdn Inc. beneficially owns on behalf of our underlying clients 5% or greater of the outstanding shares of the security class being reported on this Schedule 13G.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5329</Characters>
  <CharactersWithSpaces>6328</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