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ProQR Therapeutics N.V.</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nominal value 0.04 EUR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06/26/2026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ELI LILLY &amp; Co</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INDIANA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21,995,880.00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21,995,880.00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21,995,880.00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69"/>
        <w:gridCol w:w="9081"/>
        <w:gridCol w:w="155"/>
      </w:tblGrid>
      <w:tr>
        <w:trPr/>
        <w:tc>
          <w:tcPr>
            <w:tcW w:w="969" w:type="dxa"/>
            <w:tcBorders/>
            <w:vAlign w:val="center"/>
          </w:tcPr>
          <w:p>
            <w:pPr>
              <w:pStyle w:val="TableContents"/>
              <w:bidi w:val="0"/>
              <w:spacing w:before="0" w:after="283"/>
              <w:jc w:val="left"/>
              <w:rPr/>
            </w:pPr>
            <w:r>
              <w:rPr/>
              <w:t>Item 1.</w:t>
            </w:r>
          </w:p>
        </w:tc>
        <w:tc>
          <w:tcPr>
            <w:tcW w:w="908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jc w:val="left"/>
              <w:rPr/>
            </w:pPr>
            <w:r>
              <w:rPr/>
              <w:t xml:space="preserve">Name of issuer: </w:t>
            </w:r>
          </w:p>
          <w:p>
            <w:pPr>
              <w:pStyle w:val="TableContents"/>
              <w:bidi w:val="0"/>
              <w:spacing w:before="0" w:after="0"/>
              <w:jc w:val="left"/>
              <w:rPr/>
            </w:pPr>
            <w:r>
              <w:rPr/>
              <w:t>ProQR Therapeutics N.V.</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ZERNIKEDREEF 9, LEIDEN, NETHERLANDS, 2333 CK</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2.</w:t>
            </w:r>
          </w:p>
        </w:tc>
        <w:tc>
          <w:tcPr>
            <w:tcW w:w="908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jc w:val="left"/>
              <w:rPr/>
            </w:pPr>
            <w:r>
              <w:rPr/>
              <w:t xml:space="preserve">Name of person filing: </w:t>
            </w:r>
          </w:p>
          <w:p>
            <w:pPr>
              <w:pStyle w:val="TableContents"/>
              <w:bidi w:val="0"/>
              <w:spacing w:before="0" w:after="0"/>
              <w:jc w:val="left"/>
              <w:rPr/>
            </w:pPr>
            <w:r>
              <w:rPr/>
              <w:t>Eli Lilly and Company</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Lilly Corporate Center Indianapolis, Indiana 46285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(c)</w:t>
            </w:r>
          </w:p>
        </w:tc>
        <w:tc>
          <w:tcPr>
            <w:tcW w:w="9081" w:type="dxa"/>
            <w:tcBorders/>
            <w:vAlign w:val="center"/>
          </w:tcPr>
          <w:p>
            <w:pPr>
              <w:pStyle w:val="TableContents"/>
              <w:bidi w:val="0"/>
              <w:jc w:val="left"/>
              <w:rPr/>
            </w:pPr>
            <w:r>
              <w:rPr/>
              <w:t xml:space="preserve">Citizenship: </w:t>
            </w:r>
          </w:p>
          <w:p>
            <w:pPr>
              <w:pStyle w:val="TableContents"/>
              <w:bidi w:val="0"/>
              <w:spacing w:before="0" w:after="0"/>
              <w:jc w:val="left"/>
              <w:rPr/>
            </w:pPr>
            <w:r>
              <w:rPr/>
              <w:t>Eli Lilly and Company is an Indiana corporation</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(d)</w:t>
            </w:r>
          </w:p>
        </w:tc>
        <w:tc>
          <w:tcPr>
            <w:tcW w:w="908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nominal value 0.04 EUR per share</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(e)</w:t>
            </w:r>
          </w:p>
        </w:tc>
        <w:tc>
          <w:tcPr>
            <w:tcW w:w="908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3.</w:t>
            </w:r>
          </w:p>
        </w:tc>
        <w:tc>
          <w:tcPr>
            <w:tcW w:w="908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(c)</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(d)</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(e)</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(f)</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(g)</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(h)</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(j)</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(k)</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236" w:type="dxa"/>
            <w:gridSpan w:val="2"/>
            <w:tcBorders/>
            <w:vAlign w:val="center"/>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4.</w:t>
            </w:r>
          </w:p>
        </w:tc>
        <w:tc>
          <w:tcPr>
            <w:tcW w:w="908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21,995,880</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15.6%  %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(c)</w:t>
            </w:r>
          </w:p>
        </w:tc>
        <w:tc>
          <w:tcPr>
            <w:tcW w:w="908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21,995,880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N/A</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21,995,880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N/A</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5.</w:t>
            </w:r>
          </w:p>
        </w:tc>
        <w:tc>
          <w:tcPr>
            <w:tcW w:w="908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6.</w:t>
            </w:r>
          </w:p>
        </w:tc>
        <w:tc>
          <w:tcPr>
            <w:tcW w:w="908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7.</w:t>
            </w:r>
          </w:p>
        </w:tc>
        <w:tc>
          <w:tcPr>
            <w:tcW w:w="908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8.</w:t>
            </w:r>
          </w:p>
        </w:tc>
        <w:tc>
          <w:tcPr>
            <w:tcW w:w="908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9.</w:t>
            </w:r>
          </w:p>
        </w:tc>
        <w:tc>
          <w:tcPr>
            <w:tcW w:w="908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048" w:type="dxa"/>
        <w:jc w:val="left"/>
        <w:tblInd w:w="0" w:type="dxa"/>
        <w:tblLayout w:type="fixed"/>
        <w:tblCellMar>
          <w:top w:w="28" w:type="dxa"/>
          <w:left w:w="28" w:type="dxa"/>
          <w:bottom w:w="28" w:type="dxa"/>
          <w:right w:w="28" w:type="dxa"/>
        </w:tblCellMar>
      </w:tblPr>
      <w:tblGrid>
        <w:gridCol w:w="2024"/>
        <w:gridCol w:w="2024"/>
      </w:tblGrid>
      <w:tr>
        <w:trPr/>
        <w:tc>
          <w:tcPr>
            <w:tcW w:w="2024" w:type="dxa"/>
            <w:tcBorders/>
            <w:vAlign w:val="center"/>
          </w:tcPr>
          <w:p>
            <w:pPr>
              <w:pStyle w:val="TableContents"/>
              <w:bidi w:val="0"/>
              <w:spacing w:before="0" w:after="0"/>
              <w:jc w:val="left"/>
              <w:rPr/>
            </w:pPr>
            <w:r>
              <w:rPr/>
              <w:t> </w:t>
            </w:r>
          </w:p>
          <w:tbl>
            <w:tblPr>
              <w:tblW w:w="1891" w:type="dxa"/>
              <w:jc w:val="left"/>
              <w:tblInd w:w="0" w:type="dxa"/>
              <w:tblLayout w:type="fixed"/>
              <w:tblCellMar>
                <w:top w:w="28" w:type="dxa"/>
                <w:left w:w="28" w:type="dxa"/>
                <w:bottom w:w="28" w:type="dxa"/>
                <w:right w:w="28" w:type="dxa"/>
              </w:tblCellMar>
            </w:tblPr>
            <w:tblGrid>
              <w:gridCol w:w="1891"/>
            </w:tblGrid>
            <w:tr>
              <w:trPr/>
              <w:tc>
                <w:tcPr>
                  <w:tcW w:w="1891" w:type="dxa"/>
                  <w:tcBorders/>
                  <w:vAlign w:val="center"/>
                </w:tcPr>
                <w:p>
                  <w:pPr>
                    <w:pStyle w:val="TableContents"/>
                    <w:bidi w:val="0"/>
                    <w:spacing w:before="0" w:after="0"/>
                    <w:jc w:val="left"/>
                    <w:rPr/>
                  </w:pPr>
                  <w:r>
                    <w:rPr/>
                    <w:t>ELI LILLY &amp; Co</w:t>
                  </w:r>
                </w:p>
              </w:tc>
            </w:tr>
          </w:tbl>
          <w:p>
            <w:pPr>
              <w:pStyle w:val="TableContents"/>
              <w:bidi w:val="0"/>
              <w:spacing w:before="0" w:after="283"/>
              <w:jc w:val="left"/>
              <w:rPr/>
            </w:pPr>
            <w:r>
              <w:rPr/>
            </w:r>
          </w:p>
        </w:tc>
        <w:tc>
          <w:tcPr>
            <w:tcW w:w="20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1"/>
        <w:gridCol w:w="4344"/>
      </w:tblGrid>
      <w:tr>
        <w:trPr/>
        <w:tc>
          <w:tcPr>
            <w:tcW w:w="58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Christopher Anderson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Vice President - Leader of Corporate Securities and Assistant Corporate Secretary</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07/24/2026</w:t>
                  </w:r>
                </w:p>
              </w:tc>
            </w:tr>
          </w:tbl>
          <w:p>
            <w:pPr>
              <w:pStyle w:val="TableContents"/>
              <w:bidi w:val="0"/>
              <w:spacing w:before="0" w:after="283"/>
              <w:jc w:val="left"/>
              <w:rPr/>
            </w:pPr>
            <w:r>
              <w:rPr/>
            </w:r>
          </w:p>
        </w:tc>
        <w:tc>
          <w:tcPr>
            <w:tcW w:w="434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733</Words>
  <Characters>3812</Characters>
  <CharactersWithSpaces>4538</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