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001-36622</w:t>
      </w:r>
    </w:p>
    <w:p>
      <w:pPr>
        <w:spacing w:after="0" w:line="20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PROQR THERAPEUTICS N.V.</w:t>
      </w:r>
    </w:p>
    <w:p>
      <w:pPr>
        <w:spacing w:after="0" w:line="23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Zernikedreef 9</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2333 CK Leiden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Tel: +31 88 166 7000</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6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46" w:right="1440" w:bottom="1440" w:gutter="0" w:footer="0" w:header="0"/>
        </w:sectPr>
      </w:pPr>
    </w:p>
    <w:bookmarkStart w:id="1" w:name="page2"/>
    <w:bookmarkEnd w:id="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Furnished as Exhibit 99.1 to this Report on Form 6-K is a press release of ProQR Therapeutics N.V. (the “Company”) dated May 12, 2026, announcing the Company’s results for the three month period ended March 31, 2026.</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May 12, 2026 the Company issued a press release titled, “ProQR Announces First Quarter 2026 Operating and Financial Results,” announcing the Company’s results for the three month period ended March 31, 2026 and providing a business update. A copy of this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472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25"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19685</wp:posOffset>
            </wp:positionV>
            <wp:extent cx="66262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23"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ProQR Therapeutics N.V. dated May 12, 2026, announcing the Company's results for the three month period ended March 31,</w:t>
      </w:r>
    </w:p>
    <w:p>
      <w:pPr>
        <w:spacing w:after="0" w:line="2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u w:val="single" w:color="auto"/>
          <w:color w:val="0000EE"/>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900" w:right="4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PROQR THERAPEUTICS N.V.</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Dennis Hom</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Dennis Hom</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ProQR Announces First Quarter 2026 Operating and Financial Results</w:t>
      </w:r>
    </w:p>
    <w:p>
      <w:pPr>
        <w:spacing w:after="0" w:line="22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AX-0810 target engagement data in healthy volunteers on track for Q2 2026; biliary atresia selected as initial Phase 2 indication</w:t>
      </w:r>
    </w:p>
    <w:p>
      <w:pPr>
        <w:spacing w:after="0" w:line="26"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Pipeline expansion with advancement of AX-0811 (NTCP) and AX-0422 (IDUA) toward the clinic, supporting multiple upcoming clinical catalysts</w:t>
      </w:r>
    </w:p>
    <w:p>
      <w:pPr>
        <w:spacing w:after="0" w:line="8" w:lineRule="exact"/>
        <w:rPr>
          <w:rFonts w:ascii="Arial" w:cs="Arial" w:eastAsia="Arial" w:hAnsi="Arial"/>
          <w:sz w:val="18"/>
          <w:szCs w:val="18"/>
          <w:b w:val="1"/>
          <w:bCs w:val="1"/>
          <w:color w:val="auto"/>
        </w:rPr>
      </w:pPr>
    </w:p>
    <w:p>
      <w:pPr>
        <w:ind w:left="340" w:right="260" w:hanging="332"/>
        <w:spacing w:after="0" w:line="249" w:lineRule="auto"/>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Continued advancement of Axiomer platform, including AI-enabled discovery capabilities, partnership with Ginkgo Bioworks, and formation of AI Advisory Board</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Ended Q1 2026 with € 81.1 million cash and cash equivalents, supporting runway into mid-2027</w:t>
      </w:r>
    </w:p>
    <w:p>
      <w:pPr>
        <w:spacing w:after="0" w:line="20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LEIDEN, Netherlands &amp; CAMBRIDGE, Mass., May 12, 2026 – ProQR Therapeutics N.V. (Nasdaq: PRQR) (ProQR), a clinical-stage company dedicated to changing lives through transformative RNA therapies based on its proprietary Axiomer™ RNA editing technology platform, today reported its financial and operating results for the quarter ended March 31, 2026, and provided a business update.</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are on track to deliver multiple clinical readouts within our current runway, including target engagement data for AX-0810 in the second quarter,” said Daniel A. de Boer, Founder and Chief Executive Officer of ProQR. “We have refined our initial development strategy for AX-0810 to prioritize biliary atresia, where we believe we can generate the most meaningful clinical data in this target patient population, while maintaining flexibility to explore additional indications, including PSC, as the program advances. We also continue to advance our platform more broadly to bring RNA editing therapies to patients.”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Progress and Anticipated Upcoming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AX-0810 Advancing Toward Target Engagement Data</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AX-0810, ProQR’s lead RNA editing program targeting NTCP, remains on track to report target engagement data from healthy volunteers in the second quarter of 2026.</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selected biliary atresia (BA) as the initial indication for Phase 2 development, based on strong biological rationale and high unmet need. As part of this strategy, ProQR plans to conduct an investigator-initiated trial (IIT) in pediatric participants with BA in China instead of the previously planned adult participant PSC cohort in its Phase 1 program. While PSC remains of interest as a potential setting for broader development, the Company is prioritizing a BA-focused IIT to provide a more direct path to early, data generation in the target patient population, prior to initiation of a Phase 2 study. ProQR is working with investigators to initiate the IIT, with initial clinical data targeted for H1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Pipeline Expansion and Upcoming Catalysts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ProQR continues to expand its pipeline, with multiple programs advancing toward the clinic:</w:t>
      </w:r>
    </w:p>
    <w:p>
      <w:pPr>
        <w:spacing w:after="0" w:line="221" w:lineRule="exact"/>
        <w:rPr>
          <w:sz w:val="20"/>
          <w:szCs w:val="20"/>
          <w:color w:val="auto"/>
        </w:rPr>
      </w:pPr>
    </w:p>
    <w:p>
      <w:pPr>
        <w:ind w:left="340" w:right="560" w:hanging="332"/>
        <w:spacing w:after="0" w:line="262" w:lineRule="auto"/>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AX-0811</w:t>
      </w:r>
      <w:r>
        <w:rPr>
          <w:rFonts w:ascii="Times New Roman" w:cs="Times New Roman" w:eastAsia="Times New Roman" w:hAnsi="Times New Roman"/>
          <w:sz w:val="18"/>
          <w:szCs w:val="18"/>
          <w:color w:val="auto"/>
        </w:rPr>
        <w:t>, a next-generation NTCP program for cholestatic diseases generated using ProQR’s AI-enabled discovery engine, with a clinical 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application (CTA) filing expected in mid-2026 and initial clinical data anticipated by year-end 2026;</w:t>
      </w:r>
    </w:p>
    <w:p>
      <w:pPr>
        <w:spacing w:after="0" w:line="1"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AX-0422</w:t>
      </w:r>
      <w:r>
        <w:rPr>
          <w:rFonts w:ascii="Times New Roman" w:cs="Times New Roman" w:eastAsia="Times New Roman" w:hAnsi="Times New Roman"/>
          <w:sz w:val="18"/>
          <w:szCs w:val="18"/>
          <w:color w:val="auto"/>
        </w:rPr>
        <w:t>, targeting IDUA for Hurler syndrome, with a CTA filing expected in early 2027 and initial clinical data targeted in the first half of 2027;</w:t>
      </w:r>
    </w:p>
    <w:p>
      <w:pPr>
        <w:spacing w:after="0" w:line="8" w:lineRule="exact"/>
        <w:rPr>
          <w:rFonts w:ascii="Arial" w:cs="Arial" w:eastAsia="Arial" w:hAnsi="Arial"/>
          <w:sz w:val="18"/>
          <w:szCs w:val="18"/>
          <w:b w:val="1"/>
          <w:b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AX-2911</w:t>
      </w:r>
      <w:r>
        <w:rPr>
          <w:rFonts w:ascii="Times New Roman" w:cs="Times New Roman" w:eastAsia="Times New Roman" w:hAnsi="Times New Roman"/>
          <w:sz w:val="18"/>
          <w:szCs w:val="18"/>
          <w:color w:val="auto"/>
        </w:rPr>
        <w:t>, targeting PNPLA3 for MASH, anticipating a first-in-human (FIH) IIT in China in the first half of 2027.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Scientific Conference Presentations</w:t>
      </w:r>
    </w:p>
    <w:p>
      <w:pPr>
        <w:spacing w:after="0" w:line="225"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 xml:space="preserve">ProQR is </w:t>
      </w:r>
      <w:r>
        <w:rPr>
          <w:rFonts w:ascii="Times New Roman" w:cs="Times New Roman" w:eastAsia="Times New Roman" w:hAnsi="Times New Roman"/>
          <w:sz w:val="18"/>
          <w:szCs w:val="18"/>
          <w:b w:val="1"/>
          <w:bCs w:val="1"/>
          <w:u w:val="single" w:color="auto"/>
          <w:color w:val="auto"/>
        </w:rPr>
        <w:t>presenting multiple presentations at scientific conferences in May</w:t>
      </w:r>
      <w:r>
        <w:rPr>
          <w:rFonts w:ascii="Times New Roman" w:cs="Times New Roman" w:eastAsia="Times New Roman" w:hAnsi="Times New Roman"/>
          <w:sz w:val="18"/>
          <w:szCs w:val="18"/>
          <w:color w:val="auto"/>
        </w:rPr>
        <w:t>, including TIDES USA, the American Society of Gene &amp; Cell Therapy (ASGCT) Annual Meeting, the RNA Society Annual Meeting, and the European Association for the Study of the Liver (EASL) Congress. Collectively, these presentations expand the body of evidence supporting the breadth and versatility of the Company’s Axiomer RNA editing platform including applications across multiple tissues and disease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Advancing the Axiomer™ Platform</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ProQR continues to enhance its Axiomer platform through the integration of AI-enabled discovery and high-throughput screening to accelerate the design and optimization of RNA editing therapeutics.</w:t>
      </w:r>
    </w:p>
    <w:p>
      <w:pPr>
        <w:spacing w:after="0" w:line="158" w:lineRule="exact"/>
        <w:rPr>
          <w:sz w:val="20"/>
          <w:szCs w:val="20"/>
          <w:color w:val="auto"/>
        </w:rPr>
      </w:pPr>
    </w:p>
    <w:p>
      <w:pPr>
        <w:ind w:left="660" w:right="260" w:hanging="328"/>
        <w:spacing w:after="0" w:line="268"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During the quarter, the Company </w:t>
      </w:r>
      <w:r>
        <w:rPr>
          <w:rFonts w:ascii="Times New Roman" w:cs="Times New Roman" w:eastAsia="Times New Roman" w:hAnsi="Times New Roman"/>
          <w:sz w:val="18"/>
          <w:szCs w:val="18"/>
          <w:b w:val="1"/>
          <w:bCs w:val="1"/>
          <w:u w:val="single" w:color="auto"/>
          <w:color w:val="auto"/>
        </w:rPr>
        <w:t>announced a strategic partnership with Ginkgo Bioworks</w:t>
      </w:r>
      <w:r>
        <w:rPr>
          <w:rFonts w:ascii="Times New Roman" w:cs="Times New Roman" w:eastAsia="Times New Roman" w:hAnsi="Times New Roman"/>
          <w:sz w:val="18"/>
          <w:szCs w:val="18"/>
          <w:color w:val="auto"/>
        </w:rPr>
        <w:t>, providing access to Ginkgo’s autonomous laboratory infrastructure to enable high-throughput data generation. This capability is expected to increase the scale and speed of experimental data generation, supporting more efficient discovery timelines and improving predictive performance of ProQR’s AI models.</w:t>
      </w:r>
    </w:p>
    <w:p>
      <w:pPr>
        <w:spacing w:after="0" w:line="169" w:lineRule="exact"/>
        <w:rPr>
          <w:rFonts w:ascii="Arial" w:cs="Arial" w:eastAsia="Arial" w:hAnsi="Arial"/>
          <w:sz w:val="18"/>
          <w:szCs w:val="18"/>
          <w:b w:val="1"/>
          <w:bCs w:val="1"/>
          <w:color w:val="auto"/>
        </w:rPr>
      </w:pPr>
    </w:p>
    <w:p>
      <w:pPr>
        <w:ind w:left="660" w:hanging="328"/>
        <w:spacing w:after="0" w:line="268" w:lineRule="auto"/>
        <w:tabs>
          <w:tab w:leader="none" w:pos="660" w:val="left"/>
        </w:tabs>
        <w:numPr>
          <w:ilvl w:val="0"/>
          <w:numId w:val="3"/>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 xml:space="preserve">In addition, ProQR established an </w:t>
      </w:r>
      <w:r>
        <w:rPr>
          <w:rFonts w:ascii="Times New Roman" w:cs="Times New Roman" w:eastAsia="Times New Roman" w:hAnsi="Times New Roman"/>
          <w:sz w:val="18"/>
          <w:szCs w:val="18"/>
          <w:b w:val="1"/>
          <w:bCs w:val="1"/>
          <w:u w:val="single" w:color="auto"/>
          <w:color w:val="auto"/>
        </w:rPr>
        <w:t>AI Advisory Board</w:t>
      </w:r>
      <w:r>
        <w:rPr>
          <w:rFonts w:ascii="Times New Roman" w:cs="Times New Roman" w:eastAsia="Times New Roman" w:hAnsi="Times New Roman"/>
          <w:sz w:val="18"/>
          <w:szCs w:val="18"/>
          <w:color w:val="auto"/>
        </w:rPr>
        <w:t xml:space="preserve"> comprising leaders from industry and academia to support the Company’s AI strategy. The Advisory Board provides guidance on best practices, emerging technologies, and applications of AI in drug discovery, helping to further advance Axiomer-based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Board Nomination and Annual General Meeting</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Dr. Lykke Hinsch Gylvin, Chief Medical Officer and Head of Global Medicine at Boehringer Ingelheim, has been nominated for appointment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ProQR Board of Directors, subject to shareholder approval at the </w:t>
      </w:r>
      <w:r>
        <w:rPr>
          <w:rFonts w:ascii="Times New Roman" w:cs="Times New Roman" w:eastAsia="Times New Roman" w:hAnsi="Times New Roman"/>
          <w:sz w:val="18"/>
          <w:szCs w:val="18"/>
          <w:b w:val="1"/>
          <w:bCs w:val="1"/>
          <w:u w:val="single" w:color="auto"/>
          <w:color w:val="auto"/>
        </w:rPr>
        <w:t>upcoming Annual General Meeting, scheduled for June 2, 2026</w:t>
      </w:r>
      <w:r>
        <w:rPr>
          <w:rFonts w:ascii="Times New Roman" w:cs="Times New Roman" w:eastAsia="Times New Roman" w:hAnsi="Times New Roman"/>
          <w:sz w:val="18"/>
          <w:szCs w:val="18"/>
          <w:color w:val="auto"/>
        </w:rPr>
        <w:t>. Dr. Hinsch Gylvin is a seasoned pharmaceutical executive with more than 20 years of global leadership experience spanning all phases of drug development in a broad range of therapeutic areas.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Anticipated Milestones</w:t>
      </w:r>
    </w:p>
    <w:p>
      <w:pPr>
        <w:spacing w:after="0" w:line="229"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AX-0810 (NTCP) Phase 1 target engagement data in healthy volunteers, second quarter of 2026</w:t>
      </w:r>
    </w:p>
    <w:p>
      <w:pPr>
        <w:spacing w:after="0" w:line="26"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IIT in pediatric biliary atresia in China, with initial data targeted for first half of 2027</w:t>
      </w:r>
    </w:p>
    <w:p>
      <w:pPr>
        <w:spacing w:after="0" w:line="8"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AX-0811 (NTCP, next gen Axiomer) CTA filing in mid 2026, with initial data in healthy volunteers by year-end 2026</w:t>
      </w:r>
    </w:p>
    <w:p>
      <w:pPr>
        <w:spacing w:after="0" w:line="8"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AX-0422 (IDUA) CTA filing in early 2027, with initial data in patients targeted for the first half of 2027</w:t>
      </w:r>
    </w:p>
    <w:p>
      <w:pPr>
        <w:spacing w:after="0" w:line="8"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AX-2911(PNPLA3) FIH IIT in the first half of 2027</w:t>
      </w:r>
    </w:p>
    <w:p>
      <w:pPr>
        <w:spacing w:after="0" w:line="8" w:lineRule="exact"/>
        <w:rPr>
          <w:rFonts w:ascii="Arial" w:cs="Arial" w:eastAsia="Arial" w:hAnsi="Arial"/>
          <w:sz w:val="18"/>
          <w:szCs w:val="18"/>
          <w:b w:val="1"/>
          <w:b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Continue to execute on Lilly collaboration, with potential data updates and milestone payments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2026, ProQR held cash and cash equivalents of approximately € 81.1 million, compared to € 92.4 million at December 31, 2025.</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during the first quarter ended March 31, 2026 was € 11.1 million, compared to € 15.8 million used for the same period in 2025.</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Research and development (R&amp;D) costs for the quarter ended March 31, 2026 were € 11.8 million, compared to € 12.3 million for the same period last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costs for the quarter ended March 31, 2026 were € 3.9 million, compared to € 3.2 million for the same period in 2025.</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Net loss for the quarter ended March 31, 2026 was € 13.4 million, or € 0.13 per diluted share, compared to € 10.1 million, or € 0.10 per diluted share, for the same period in 2025.</w:t>
      </w:r>
    </w:p>
    <w:p>
      <w:pPr>
        <w:spacing w:after="0" w:line="162"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For further financial information for the period ended March 31, 2026, please refer to our Q1 financial report filing available on our website, www.proqr.com under Financials and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About Axiomer</w:t>
      </w:r>
      <w:r>
        <w:rPr>
          <w:rFonts w:ascii="Times New Roman" w:cs="Times New Roman" w:eastAsia="Times New Roman" w:hAnsi="Times New Roman"/>
          <w:sz w:val="29"/>
          <w:szCs w:val="29"/>
          <w:b w:val="1"/>
          <w:bCs w:val="1"/>
          <w:color w:val="auto"/>
          <w:vertAlign w:val="superscript"/>
        </w:rPr>
        <w:t>™</w:t>
      </w:r>
    </w:p>
    <w:p>
      <w:pPr>
        <w:spacing w:after="0" w:line="143" w:lineRule="exact"/>
        <w:rPr>
          <w:sz w:val="20"/>
          <w:szCs w:val="20"/>
          <w:color w:val="auto"/>
        </w:rPr>
      </w:pPr>
    </w:p>
    <w:p>
      <w:pPr>
        <w:ind w:right="100"/>
        <w:spacing w:after="0" w:line="197" w:lineRule="auto"/>
        <w:rPr>
          <w:sz w:val="20"/>
          <w:szCs w:val="20"/>
          <w:color w:val="auto"/>
        </w:rPr>
      </w:pPr>
      <w:r>
        <w:rPr>
          <w:rFonts w:ascii="Times New Roman" w:cs="Times New Roman" w:eastAsia="Times New Roman" w:hAnsi="Times New Roman"/>
          <w:sz w:val="17"/>
          <w:szCs w:val="17"/>
          <w:color w:val="auto"/>
        </w:rPr>
        <w:t>ProQR is pioneering a next-generation RNA base editing technology called Axiomer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which could potentially yield a new class of medicines for diverse types of diseases. Axiomer</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 xml:space="preserve"> “Editing Oligonucleotides”, or EONs, mediate single nucleotide changes to RNA in a highly specific and targeted way using</w:t>
      </w:r>
    </w:p>
    <w:p>
      <w:pPr>
        <w:ind w:right="60"/>
        <w:spacing w:after="0" w:line="227" w:lineRule="auto"/>
        <w:rPr>
          <w:sz w:val="20"/>
          <w:szCs w:val="20"/>
          <w:color w:val="auto"/>
        </w:rPr>
      </w:pPr>
      <w:r>
        <w:rPr>
          <w:rFonts w:ascii="Times New Roman" w:cs="Times New Roman" w:eastAsia="Times New Roman" w:hAnsi="Times New Roman"/>
          <w:sz w:val="18"/>
          <w:szCs w:val="18"/>
          <w:color w:val="auto"/>
        </w:rPr>
        <w:t>molecular machinery that is present in human cells called ADAR (Adenosine Deaminase Acting on RNA). Axiomer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EONs are designed to recruit and direct endogenously expressed ADARs to change an Adenosine (A) to an Inosine (I) in the RNA – an Inosine is translated as a Guanosine (G) – correcting an RNA with a disease-causing mutation back to a normal (wild type) RNA, modulating protein expression, or altering a protein so that it will have a new function that helps prevent or treat disease.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ProQR</w:t>
      </w:r>
    </w:p>
    <w:p>
      <w:pPr>
        <w:spacing w:after="0" w:line="229" w:lineRule="exact"/>
        <w:rPr>
          <w:sz w:val="20"/>
          <w:szCs w:val="20"/>
          <w:color w:val="auto"/>
        </w:rPr>
      </w:pPr>
    </w:p>
    <w:p>
      <w:pPr>
        <w:ind w:right="120"/>
        <w:spacing w:after="0" w:line="232" w:lineRule="auto"/>
        <w:rPr>
          <w:sz w:val="20"/>
          <w:szCs w:val="20"/>
          <w:color w:val="auto"/>
        </w:rPr>
      </w:pPr>
      <w:r>
        <w:rPr>
          <w:rFonts w:ascii="Times New Roman" w:cs="Times New Roman" w:eastAsia="Times New Roman" w:hAnsi="Times New Roman"/>
          <w:sz w:val="18"/>
          <w:szCs w:val="18"/>
          <w:color w:val="auto"/>
        </w:rPr>
        <w:t>ProQR Therapeutics is dedicated to changing lives through the creation of transformative RNA therapies. ProQR is pioneering a next-generation RNA technology called Axiomer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which uses a cell’s own editing machinery called ADAR to make specific single nucleotide edits in RNA to reverse a mutation or modulate protein expression and could potentially yield a new class of medicines for both rare and prevalent diseases with unmet need. Based on our unique proprietary RNA repair platform technologies we are growing our pipeline with patients and loved ones in mind.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Learn more about ProQR at </w:t>
      </w:r>
      <w:r>
        <w:rPr>
          <w:rFonts w:ascii="Times New Roman" w:cs="Times New Roman" w:eastAsia="Times New Roman" w:hAnsi="Times New Roman"/>
          <w:sz w:val="18"/>
          <w:szCs w:val="18"/>
          <w:b w:val="1"/>
          <w:bCs w:val="1"/>
          <w:u w:val="single" w:color="auto"/>
          <w:color w:val="auto"/>
        </w:rPr>
        <w:t>www.proqr.com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contains forward-looking statements. All statements other than statements of historical fact are forward-looking statements, which are often indicated by terms such as “continue,” "anticipate," "believe," "could," "estimate," "expect," "goal," "intend," "look forward to", "may," "plan," "potential," "predict," "project," "should," "will," "would" and similar expressions. Such forward-looking statements include, but are not limited to, statements regarding our business, technology, strategy, preclinical and clinical model data; our initial pipeline targets and the upcoming strategic priorities and milestones related thereto; the continued advancement of our lead development pipeline programs, including ongoing and planned clinical trials; the ongoing Phase 1 clinical study of AX-0810 in NTCP for cholestatic diseases, including the anticipated timing of initial Phase 1 target engagement data from the first cohort of healthy volunteers in the second quarter of 2026; our expectations regarding the safety and therapeutic benefits of AX-0810, including the planned dosing levels and their efficacy; our ability to collaborate with investigators to execute and recruit for an investigator-initiated trial of AX-0810 in China in pediatric participants with biliary atresia and to generate meaningful data therefrom, including the anticipated timing of initial data readout in H1 2027; risks and uncertainties associated with conducting clinical trials in China, including evolving regulatory requirements; our pipeline targets, including the planned Phase 1 clinical trial of AX-0811 for cholestatic diseases; our ability to recruit for and complete a Phase 1 clinical trial for AX-0811, including the anticipated timing of a CTA filing in mid 2026 and initial data readout by year end 2026; the anticipated first-in-human study of AX-0422 targeting IDUA for Hurler syndrome, with a CTA filing expected in early 2027 and anticipated initial clinical data readout in H1 2027; the anticipated investigator-initiated study in China of AX-2911 targeting PNPLA3 for MASH in H1 2027; our expectations regarding clinical updates across multiple programs in 2026 and 2027; the therapeutic potential and development timeline regarding AX-0810, AX-0811, AX-0422, and AX-2911; the anticipated benefits from our partnership with Ginkgo Bioworks; the role and expected contributions of our AI Advisory Board; our participation at upcoming scientific conferences; the continued development and advancement of our Axiomer platform; the therapeutic potential of our Axiomer RNA editing oligonucleotides and product candidates; the timing, progress and results of our preclinical studies and other development and pipeline activities, including the release of data related thereto; our patent estate, including our anticipated strength and our continued investment in it, as well as the timing of our clinical development; the potential of our technologies and product candidates; the collaboration with Lilly and the intended benefits thereof, including timing for data updates, potential milestones, exercise of an option to expand targets and the receipt of an opt-in payment; our ability to selectively form new partnerships and enter into future collaborations; our financial position and cash-runway to fund our operations into mid 2027, and the anticipated changes to our Board composition, including the nomination of Dr. Lykke Hinsch Gylvin, subject to shareholder approval. Forward-looking statements are based on management's beliefs and assumptions and on information available to management only as of the date of this press release. Our actual results could differ materially from those expressed or implied by these forward-looking statements for many reasons, including, without limitation, the risks, uncertainties and other factors in our filings made with the Securities and Exchange Commission, including certain sections of our most recent annual report filed on Form 20-F. These risks and uncertainties include, among others, the cost, timing and results of preclinical studies and clinical trials and other development activities by us and our collaborative partners whose operations and activities may be slowed or halted due to shortage and pressure on supply chains and logistics in the global market, economic sanctions and international tariffs; the likelihood of our preclinical and clinical programs being initiated and executed on timelines provided and our reliance on our contract research organizations and predictability of timely enrollment of subjects and patients to advance our clinical trials and maintain their own operations; our reliance on contract manufacturers to supply materials for research and development and the risk of supply interruption from a contract manufacturer; the potential for future data to alter initial and preliminary results of early-stage clinical trials; the unpredictability of the duration and results of the regulatory review of applications or clearances that are necessary to initiate and continue to advance and progress our clinical programs; the ability to secure, maintain and realize the intended benefits of collaborations with partners, including the collaboration with Lilly; the possible impairment of, inability to obtain, and costs to obtain intellectual property rights; possible safety or efficacy concerns that could emerge as new data are generated in research and development; general business, operational, financial and accounting risks, and risks related to litigation and disputes with third parties; and risks related to macroeconomic conditions and market volatility resulting from global economic developments, geopolitical events and conflicts, inflationary pressures, fluctuating interest rates, tariffs and potential for significant changes in U.S. policies and regulatory environment. Given these risks, uncertainties and other factors, you should not place undue reliance on these forward-looking statements, and we assume no obligation to update these forward-looking statements, even if new information becomes available in the future,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ProQR Therapeutics N.V.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Kiely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ProQR Therapeutics N.V.</w:t>
      </w:r>
    </w:p>
    <w:p>
      <w:pPr>
        <w:spacing w:after="0" w:line="9" w:lineRule="exact"/>
        <w:rPr>
          <w:sz w:val="20"/>
          <w:szCs w:val="20"/>
          <w:color w:val="auto"/>
        </w:rPr>
      </w:pPr>
    </w:p>
    <w:p>
      <w:pPr>
        <w:jc w:val="both"/>
        <w:ind w:right="8699" w:firstLine="8"/>
        <w:spacing w:after="0" w:line="260" w:lineRule="auto"/>
        <w:tabs>
          <w:tab w:leader="none" w:pos="1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+1 617 599 6228 </w:t>
      </w:r>
      <w:r>
        <w:rPr>
          <w:rFonts w:ascii="Times New Roman" w:cs="Times New Roman" w:eastAsia="Times New Roman" w:hAnsi="Times New Roman"/>
          <w:sz w:val="18"/>
          <w:szCs w:val="18"/>
          <w:b w:val="1"/>
          <w:bCs w:val="1"/>
          <w:u w:val="single" w:color="auto"/>
          <w:color w:val="auto"/>
        </w:rPr>
        <w:t>skiely@proqr.com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Kelleher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LifeSci Advisors</w:t>
      </w:r>
    </w:p>
    <w:p>
      <w:pPr>
        <w:spacing w:after="0" w:line="9" w:lineRule="exact"/>
        <w:rPr>
          <w:sz w:val="20"/>
          <w:szCs w:val="20"/>
          <w:color w:val="auto"/>
        </w:rPr>
      </w:pPr>
    </w:p>
    <w:p>
      <w:pPr>
        <w:ind w:right="7799" w:firstLine="8"/>
        <w:spacing w:after="0" w:line="260" w:lineRule="auto"/>
        <w:tabs>
          <w:tab w:leader="none" w:pos="1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+1 617 430 7579 </w:t>
      </w:r>
      <w:r>
        <w:rPr>
          <w:rFonts w:ascii="Times New Roman" w:cs="Times New Roman" w:eastAsia="Times New Roman" w:hAnsi="Times New Roman"/>
          <w:sz w:val="18"/>
          <w:szCs w:val="18"/>
          <w:b w:val="1"/>
          <w:bCs w:val="1"/>
          <w:u w:val="single" w:color="auto"/>
          <w:color w:val="auto"/>
        </w:rPr>
        <w:t>pkelleher@lifesciadvisors.com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PROQR THERAPEUTICS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Financial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8440" w:type="dxa"/>
            <w:vAlign w:val="bottom"/>
          </w:tcPr>
          <w:p>
            <w:pPr>
              <w:spacing w:after="0"/>
              <w:rPr>
                <w:sz w:val="18"/>
                <w:szCs w:val="18"/>
                <w:color w:val="auto"/>
              </w:rPr>
            </w:pPr>
          </w:p>
        </w:tc>
        <w:tc>
          <w:tcPr>
            <w:tcW w:w="12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,000</w:t>
            </w: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,000</w:t>
            </w:r>
          </w:p>
        </w:tc>
        <w:tc>
          <w:tcPr>
            <w:tcW w:w="100" w:type="dxa"/>
            <w:vAlign w:val="bottom"/>
            <w:gridSpan w:val="2"/>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12,052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12,630</w:t>
            </w:r>
          </w:p>
        </w:tc>
      </w:tr>
      <w:tr>
        <w:trPr>
          <w:trHeight w:val="230"/>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financial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12,052</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12,630</w:t>
            </w:r>
          </w:p>
        </w:tc>
        <w:tc>
          <w:tcPr>
            <w:tcW w:w="100" w:type="dxa"/>
            <w:vAlign w:val="bottom"/>
            <w:tcBorders>
              <w:bottom w:val="single" w:sz="8" w:color="CCEEFF"/>
            </w:tcBorders>
            <w:gridSpan w:val="2"/>
          </w:tcPr>
          <w:p>
            <w:pPr>
              <w:spacing w:after="0"/>
              <w:rPr>
                <w:sz w:val="18"/>
                <w:szCs w:val="18"/>
                <w:color w:val="auto"/>
              </w:rPr>
            </w:pPr>
          </w:p>
        </w:tc>
      </w:tr>
      <w:tr>
        <w:trPr>
          <w:trHeight w:val="209"/>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81,088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92,413</w:t>
            </w:r>
          </w:p>
        </w:tc>
      </w:tr>
      <w:tr>
        <w:trPr>
          <w:trHeight w:val="21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4,404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6,800</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taxes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1,490</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913</w:t>
            </w:r>
          </w:p>
        </w:tc>
      </w:tr>
      <w:tr>
        <w:trPr>
          <w:trHeight w:val="229"/>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86,982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100,126</w:t>
            </w:r>
          </w:p>
        </w:tc>
        <w:tc>
          <w:tcPr>
            <w:tcW w:w="80" w:type="dxa"/>
            <w:vAlign w:val="bottom"/>
            <w:shd w:val="clear" w:color="auto" w:fill="CCEEFF"/>
          </w:tcPr>
          <w:p>
            <w:pPr>
              <w:spacing w:after="0"/>
              <w:rPr>
                <w:sz w:val="19"/>
                <w:szCs w:val="19"/>
                <w:color w:val="auto"/>
              </w:rPr>
            </w:pP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99,034</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112,756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 and liabilities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attributable to owners of the Company</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37,598</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49,374</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37,598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49,374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Borrowings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9,547</w:t>
            </w:r>
          </w:p>
        </w:tc>
        <w:tc>
          <w:tcPr>
            <w:tcW w:w="80" w:type="dxa"/>
            <w:vAlign w:val="bottom"/>
            <w:shd w:val="clear" w:color="auto" w:fill="CCEEFF"/>
          </w:tcPr>
          <w:p>
            <w:pPr>
              <w:spacing w:after="0"/>
              <w:rPr>
                <w:sz w:val="18"/>
                <w:szCs w:val="18"/>
                <w:color w:val="auto"/>
              </w:rPr>
            </w:pPr>
          </w:p>
        </w:tc>
      </w:tr>
      <w:tr>
        <w:trPr>
          <w:trHeight w:val="230"/>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17,307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21,394</w:t>
            </w:r>
          </w:p>
        </w:tc>
      </w:tr>
      <w:tr>
        <w:trPr>
          <w:trHeight w:val="210"/>
        </w:trPr>
        <w:tc>
          <w:tcPr>
            <w:tcW w:w="84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26,378</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30,941</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4,872</w:t>
            </w: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Lease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1,545</w:t>
            </w:r>
          </w:p>
        </w:tc>
        <w:tc>
          <w:tcPr>
            <w:tcW w:w="80" w:type="dxa"/>
            <w:vAlign w:val="bottom"/>
          </w:tcPr>
          <w:p>
            <w:pPr>
              <w:spacing w:after="0"/>
              <w:rPr>
                <w:sz w:val="18"/>
                <w:szCs w:val="18"/>
                <w:color w:val="auto"/>
              </w:rPr>
            </w:pPr>
          </w:p>
        </w:tc>
      </w:tr>
      <w:tr>
        <w:trPr>
          <w:trHeight w:val="21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179</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Trade payables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8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19,607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17,552</w:t>
            </w:r>
          </w:p>
        </w:tc>
      </w:tr>
      <w:tr>
        <w:trPr>
          <w:trHeight w:val="216"/>
        </w:trPr>
        <w:tc>
          <w:tcPr>
            <w:tcW w:w="8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8,421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7,940</w:t>
            </w:r>
          </w:p>
        </w:tc>
        <w:tc>
          <w:tcPr>
            <w:tcW w:w="80" w:type="dxa"/>
            <w:vAlign w:val="bottom"/>
          </w:tcPr>
          <w:p>
            <w:pPr>
              <w:spacing w:after="0"/>
              <w:rPr>
                <w:sz w:val="18"/>
                <w:szCs w:val="18"/>
                <w:color w:val="auto"/>
              </w:rPr>
            </w:pPr>
          </w:p>
        </w:tc>
      </w:tr>
      <w:tr>
        <w:trPr>
          <w:trHeight w:val="230"/>
        </w:trPr>
        <w:tc>
          <w:tcPr>
            <w:tcW w:w="8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35,058</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32,441</w:t>
            </w:r>
          </w:p>
        </w:tc>
      </w:tr>
      <w:tr>
        <w:trPr>
          <w:trHeight w:val="210"/>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61,436</w:t>
            </w:r>
          </w:p>
        </w:tc>
        <w:tc>
          <w:tcPr>
            <w:tcW w:w="22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63,382</w:t>
            </w:r>
          </w:p>
        </w:tc>
        <w:tc>
          <w:tcPr>
            <w:tcW w:w="100" w:type="dxa"/>
            <w:vAlign w:val="bottom"/>
            <w:tcBorders>
              <w:bottom w:val="single" w:sz="8" w:color="CCEEFF"/>
            </w:tcBorders>
            <w:gridSpan w:val="2"/>
          </w:tcPr>
          <w:p>
            <w:pPr>
              <w:spacing w:after="0"/>
              <w:rPr>
                <w:sz w:val="18"/>
                <w:szCs w:val="18"/>
                <w:color w:val="auto"/>
              </w:rPr>
            </w:pPr>
          </w:p>
        </w:tc>
      </w:tr>
      <w:tr>
        <w:trPr>
          <w:trHeight w:val="210"/>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equity and liabilities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99,034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112,756</w:t>
            </w:r>
          </w:p>
        </w:tc>
        <w:tc>
          <w:tcPr>
            <w:tcW w:w="80" w:type="dxa"/>
            <w:vAlign w:val="bottom"/>
          </w:tcPr>
          <w:p>
            <w:pPr>
              <w:spacing w:after="0"/>
              <w:rPr>
                <w:sz w:val="18"/>
                <w:szCs w:val="18"/>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69"/>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PROQR THERAPEUTICS N.V.</w:t>
      </w:r>
    </w:p>
    <w:p>
      <w:pPr>
        <w:spacing w:after="0" w:line="31" w:lineRule="exact"/>
        <w:rPr>
          <w:sz w:val="20"/>
          <w:szCs w:val="20"/>
          <w:color w:val="auto"/>
        </w:rPr>
      </w:pPr>
    </w:p>
    <w:p>
      <w:pPr>
        <w:ind w:right="36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 of Profit or Loss and Other Comprehensive Income </w:t>
      </w:r>
      <w:r>
        <w:rPr>
          <w:rFonts w:ascii="Times New Roman" w:cs="Times New Roman" w:eastAsia="Times New Roman" w:hAnsi="Times New Roman"/>
          <w:sz w:val="18"/>
          <w:szCs w:val="18"/>
          <w:color w:val="auto"/>
        </w:rPr>
        <w:t>(€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2800" w:type="dxa"/>
            <w:vAlign w:val="bottom"/>
            <w:gridSpan w:val="4"/>
          </w:tcPr>
          <w:p>
            <w:pPr>
              <w:jc w:val="right"/>
              <w:ind w:right="601"/>
              <w:spacing w:after="0"/>
              <w:rPr>
                <w:sz w:val="20"/>
                <w:szCs w:val="20"/>
                <w:color w:val="auto"/>
              </w:rPr>
            </w:pPr>
            <w:r>
              <w:rPr>
                <w:rFonts w:ascii="Times New Roman" w:cs="Times New Roman" w:eastAsia="Times New Roman" w:hAnsi="Times New Roman"/>
                <w:sz w:val="18"/>
                <w:szCs w:val="18"/>
                <w:b w:val="1"/>
                <w:bCs w:val="1"/>
                <w:color w:val="auto"/>
              </w:rPr>
              <w:t>Three month period</w:t>
            </w:r>
          </w:p>
        </w:tc>
      </w:tr>
      <w:tr>
        <w:trPr>
          <w:trHeight w:val="238"/>
        </w:trPr>
        <w:tc>
          <w:tcPr>
            <w:tcW w:w="8440" w:type="dxa"/>
            <w:vAlign w:val="bottom"/>
          </w:tcPr>
          <w:p>
            <w:pPr>
              <w:spacing w:after="0"/>
              <w:rPr>
                <w:sz w:val="20"/>
                <w:szCs w:val="20"/>
                <w:color w:val="auto"/>
              </w:rPr>
            </w:pPr>
          </w:p>
        </w:tc>
        <w:tc>
          <w:tcPr>
            <w:tcW w:w="280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23"/>
        </w:trPr>
        <w:tc>
          <w:tcPr>
            <w:tcW w:w="84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,000</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w:t>
            </w:r>
            <w:r>
              <w:rPr>
                <w:rFonts w:ascii="Times New Roman" w:cs="Times New Roman" w:eastAsia="Times New Roman" w:hAnsi="Times New Roman"/>
                <w:sz w:val="18"/>
                <w:szCs w:val="18"/>
                <w:i w:val="1"/>
                <w:iCs w:val="1"/>
                <w:color w:val="auto"/>
                <w:w w:val="96"/>
              </w:rPr>
              <w:t>,000</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2,033</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4,519</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222</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costs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(11,830)</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r>
      <w:tr>
        <w:trPr>
          <w:trHeight w:val="230"/>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costs</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(3,852)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0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w:t>
            </w:r>
          </w:p>
        </w:tc>
        <w:tc>
          <w:tcPr>
            <w:tcW w:w="124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b w:val="1"/>
                <w:bCs w:val="1"/>
                <w:color w:val="auto"/>
                <w:w w:val="93"/>
              </w:rPr>
              <w:t>(15,682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(15,557</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9"/>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result</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(13,649)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(10,816)</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Financial income and expense</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212</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455</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Results related to financial liabilities measured at fair value through profit or loss</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w:t>
            </w:r>
          </w:p>
        </w:tc>
        <w:tc>
          <w:tcPr>
            <w:tcW w:w="13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Result before corporate income taxes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(13,383)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(10,079)</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 for the period</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(13,383)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(10,079)</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(foreign exchange differences on foreign operation)</w:t>
            </w:r>
          </w:p>
        </w:tc>
        <w:tc>
          <w:tcPr>
            <w:tcW w:w="14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179</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(13,204)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(10,450)</w:t>
            </w:r>
          </w:p>
        </w:tc>
      </w:tr>
      <w:tr>
        <w:trPr>
          <w:trHeight w:val="210"/>
        </w:trPr>
        <w:tc>
          <w:tcPr>
            <w:tcW w:w="84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Result attributable to</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Company</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(13,383)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(10,079)</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Owners of the Company</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(13,204)</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(10,450)</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 information</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56"/>
        </w:trPr>
        <w:tc>
          <w:tcPr>
            <w:tcW w:w="8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Weighted average number of shares outstanding</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105,362,228</w:t>
            </w:r>
          </w:p>
        </w:tc>
        <w:tc>
          <w:tcPr>
            <w:tcW w:w="13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105,296,833</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Earnings per share attributable to owners of the Company (Euro per share)</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Basic loss per share</w:t>
            </w:r>
            <w:r>
              <w:rPr>
                <w:rFonts w:ascii="Times New Roman" w:cs="Times New Roman" w:eastAsia="Times New Roman" w:hAnsi="Times New Roman"/>
                <w:sz w:val="29"/>
                <w:szCs w:val="29"/>
                <w:color w:val="auto"/>
                <w:vertAlign w:val="superscript"/>
              </w:rPr>
              <w:t>1</w:t>
            </w:r>
          </w:p>
        </w:tc>
        <w:tc>
          <w:tcPr>
            <w:tcW w:w="14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(0.13)</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394"/>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Diluted loss per share</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r>
    </w:tbl>
    <w:p>
      <w:pPr>
        <w:spacing w:after="0" w:line="60" w:lineRule="exact"/>
        <w:rPr>
          <w:sz w:val="20"/>
          <w:szCs w:val="20"/>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these periods the potential exercise of share options is not included in the diluted earnings per share as the Company was loss-making. Due to the anti-dilutive nature of the outstanding options, basic and diluted earnings per share are equal.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PROQR THERAPEUTICS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Attributable to owners of the Company</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Equity settled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Benefit</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38"/>
        </w:trPr>
        <w:tc>
          <w:tcPr>
            <w:tcW w:w="324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Reserve</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09"/>
        </w:trPr>
        <w:tc>
          <w:tcPr>
            <w:tcW w:w="3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,000</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,000</w:t>
            </w:r>
          </w:p>
        </w:tc>
        <w:tc>
          <w:tcPr>
            <w:tcW w:w="20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,000</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,000</w:t>
            </w:r>
          </w:p>
        </w:tc>
        <w:tc>
          <w:tcPr>
            <w:tcW w:w="220" w:type="dxa"/>
            <w:vAlign w:val="bottom"/>
          </w:tcPr>
          <w:p>
            <w:pPr>
              <w:spacing w:after="0"/>
              <w:rPr>
                <w:sz w:val="18"/>
                <w:szCs w:val="18"/>
                <w:color w:val="auto"/>
              </w:rPr>
            </w:pPr>
          </w:p>
        </w:tc>
        <w:tc>
          <w:tcPr>
            <w:tcW w:w="10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,000</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,000</w:t>
            </w: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107,710,916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4,308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483,812</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26,248</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1,350</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(427,158)</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88,560</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Result for the period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(10,079)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(10,079)</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(371)</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share-based payments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 transferred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(130,436)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 lapsed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826</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exercised / RSUs vested</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130,436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67</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2025</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107,710,916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4,308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483,879</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26,000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979</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(436,231)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78,935</w:t>
            </w:r>
          </w:p>
        </w:tc>
      </w:tr>
      <w:tr>
        <w:trPr>
          <w:trHeight w:val="216"/>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107,710,916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4,308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483,881</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28,426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265</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(467,506)</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49,374</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Result for the period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(13,383)</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(13,383)</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share-based payments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1,428</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 transferred</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Share options lapsed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(1,994)</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1,994</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options exercised / RSUs vested</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1,091</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2026</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107,710,916</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4,308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483,881</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27,859</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444</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(478,894)</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37,598</w:t>
            </w:r>
          </w:p>
        </w:tc>
      </w:tr>
      <w:tr>
        <w:trPr>
          <w:trHeight w:val="688"/>
        </w:trPr>
        <w:tc>
          <w:tcPr>
            <w:tcW w:w="3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PROQR THERAPEUTICS N.V.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2800" w:type="dxa"/>
            <w:vAlign w:val="bottom"/>
            <w:gridSpan w:val="4"/>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 period</w:t>
            </w:r>
          </w:p>
        </w:tc>
      </w:tr>
      <w:tr>
        <w:trPr>
          <w:trHeight w:val="238"/>
        </w:trPr>
        <w:tc>
          <w:tcPr>
            <w:tcW w:w="8440" w:type="dxa"/>
            <w:vAlign w:val="bottom"/>
          </w:tcPr>
          <w:p>
            <w:pPr>
              <w:spacing w:after="0"/>
              <w:rPr>
                <w:sz w:val="20"/>
                <w:szCs w:val="20"/>
                <w:color w:val="auto"/>
              </w:rPr>
            </w:pPr>
          </w:p>
        </w:tc>
        <w:tc>
          <w:tcPr>
            <w:tcW w:w="280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ended March 31,</w:t>
            </w:r>
          </w:p>
        </w:tc>
      </w:tr>
      <w:tr>
        <w:trPr>
          <w:trHeight w:val="223"/>
        </w:trPr>
        <w:tc>
          <w:tcPr>
            <w:tcW w:w="84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844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i w:val="1"/>
                <w:iCs w:val="1"/>
                <w:color w:val="auto"/>
              </w:rPr>
              <w:t>,000</w:t>
            </w: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w:t>
            </w:r>
            <w:r>
              <w:rPr>
                <w:rFonts w:ascii="Times New Roman" w:cs="Times New Roman" w:eastAsia="Times New Roman" w:hAnsi="Times New Roman"/>
                <w:sz w:val="18"/>
                <w:szCs w:val="18"/>
                <w:i w:val="1"/>
                <w:iCs w:val="1"/>
                <w:color w:val="auto"/>
                <w:w w:val="96"/>
              </w:rPr>
              <w:t>,000</w:t>
            </w: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Net result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(13,383)</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(10,079)</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for:</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Other income</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Depreciation</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694</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Share-based compensation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Financial income and expenses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 Results related to financial liabilities measured at fair value through profit or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Income tax expenses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working capital</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(6,721)</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Cash used in operations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i w:val="1"/>
                <w:iCs w:val="1"/>
                <w:color w:val="auto"/>
              </w:rPr>
              <w:t>(11,465)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(16,376)</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Corporate income tax paid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received</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367</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788</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Interest paid</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(11,145)</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(15,798)</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(164)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(224)</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 from financing activities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lease liability</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i w:val="1"/>
                <w:iCs w:val="1"/>
                <w:color w:val="auto"/>
              </w:rPr>
              <w:t>(304)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i w:val="1"/>
                <w:iCs w:val="1"/>
                <w:color w:val="auto"/>
              </w:rPr>
              <w:t>(500)</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(11,613)</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(16,522)</w:t>
            </w:r>
          </w:p>
        </w:tc>
      </w:tr>
      <w:tr>
        <w:trPr>
          <w:trHeight w:val="216"/>
        </w:trPr>
        <w:tc>
          <w:tcPr>
            <w:tcW w:w="8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effect cash and cash equivalents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(472)</w:t>
            </w:r>
          </w:p>
        </w:tc>
      </w:tr>
      <w:tr>
        <w:trPr>
          <w:trHeight w:val="216"/>
        </w:trPr>
        <w:tc>
          <w:tcPr>
            <w:tcW w:w="84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92,413</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149,408</w:t>
            </w:r>
          </w:p>
        </w:tc>
      </w:tr>
      <w:tr>
        <w:trPr>
          <w:trHeight w:val="216"/>
        </w:trPr>
        <w:tc>
          <w:tcPr>
            <w:tcW w:w="8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8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81,088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132,414</w:t>
            </w:r>
          </w:p>
        </w:tc>
      </w:tr>
      <w:tr>
        <w:trPr>
          <w:trHeight w:val="666"/>
        </w:trPr>
        <w:tc>
          <w:tcPr>
            <w:tcW w:w="84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upperLetter"/>
      <w:start w:val="20"/>
    </w:lvl>
  </w:abstractNum>
  <w:abstractNum w:abstractNumId="5">
    <w:nsid w:val="2EB141F2"/>
    <w:multiLevelType w:val="hybridMultilevel"/>
    <w:lvl w:ilvl="0">
      <w:lvlJc w:val="left"/>
      <w:lvlText w:val="%1:"/>
      <w:numFmt w:val="upperLetter"/>
      <w:start w:val="20"/>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2026-05-12T06:02:38Z</dcterms:created>
  <dcterms:modified xsi:type="dcterms:W3CDTF">2026-05-12T06:02:38Z</dcterms:modified>
</cp:coreProperties>
</file>