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190500</wp:posOffset>
            </wp:positionH>
            <wp:positionV relativeFrom="page">
              <wp:posOffset>139700</wp:posOffset>
            </wp:positionV>
            <wp:extent cx="716788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7880" cy="25400"/>
                    </a:xfrm>
                    <a:prstGeom prst="rect">
                      <a:avLst/>
                    </a:prstGeom>
                    <a:noFill/>
                  </pic:spPr>
                </pic:pic>
              </a:graphicData>
            </a:graphic>
          </wp:anchor>
        </w:drawing>
        <w:drawing>
          <wp:anchor simplePos="0" relativeHeight="251657728" behindDoc="1" locked="0" layoutInCell="0" allowOverlap="1">
            <wp:simplePos x="0" y="0"/>
            <wp:positionH relativeFrom="page">
              <wp:posOffset>190500</wp:posOffset>
            </wp:positionH>
            <wp:positionV relativeFrom="page">
              <wp:posOffset>190500</wp:posOffset>
            </wp:positionV>
            <wp:extent cx="71678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7880" cy="6350"/>
                    </a:xfrm>
                    <a:prstGeom prst="rect">
                      <a:avLst/>
                    </a:prstGeom>
                    <a:noFill/>
                  </pic:spPr>
                </pic:pic>
              </a:graphicData>
            </a:graphic>
          </wp:anchor>
        </w:drawing>
        <w:t>UNITED STATES</w:t>
      </w:r>
    </w:p>
    <w:p>
      <w:pPr>
        <w:spacing w:after="0" w:line="22" w:lineRule="exact"/>
        <w:rPr>
          <w:sz w:val="24"/>
          <w:szCs w:val="24"/>
          <w:color w:val="auto"/>
        </w:rPr>
      </w:pPr>
    </w:p>
    <w:p>
      <w:pPr>
        <w:jc w:val="center"/>
        <w:ind w:right="-1140"/>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1140"/>
        <w:spacing w:after="0"/>
        <w:rPr>
          <w:sz w:val="20"/>
          <w:szCs w:val="20"/>
          <w:color w:val="auto"/>
        </w:rPr>
      </w:pPr>
      <w:r>
        <w:rPr>
          <w:rFonts w:ascii="Arial" w:cs="Arial" w:eastAsia="Arial" w:hAnsi="Arial"/>
          <w:sz w:val="13"/>
          <w:szCs w:val="13"/>
          <w:b w:val="1"/>
          <w:bCs w:val="1"/>
          <w:color w:val="auto"/>
        </w:rPr>
        <w:t>Washington, D.C. 20549</w:t>
      </w:r>
    </w:p>
    <w:p>
      <w:pPr>
        <w:spacing w:after="0" w:line="138" w:lineRule="exact"/>
        <w:rPr>
          <w:sz w:val="24"/>
          <w:szCs w:val="24"/>
          <w:color w:val="auto"/>
        </w:rPr>
      </w:pPr>
    </w:p>
    <w:p>
      <w:pPr>
        <w:jc w:val="center"/>
        <w:ind w:right="-1140"/>
        <w:spacing w:after="0"/>
        <w:rPr>
          <w:sz w:val="20"/>
          <w:szCs w:val="20"/>
          <w:color w:val="auto"/>
        </w:rPr>
      </w:pPr>
      <w:r>
        <w:rPr>
          <w:rFonts w:ascii="Arial" w:cs="Arial" w:eastAsia="Arial" w:hAnsi="Arial"/>
          <w:sz w:val="24"/>
          <w:szCs w:val="24"/>
          <w:b w:val="1"/>
          <w:bCs w:val="1"/>
          <w:color w:val="auto"/>
        </w:rPr>
        <w:t>FORM 6-K</w:t>
      </w:r>
    </w:p>
    <w:p>
      <w:pPr>
        <w:spacing w:after="0" w:line="166"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Report of Foreign Private Issuer</w:t>
      </w:r>
    </w:p>
    <w:p>
      <w:pPr>
        <w:spacing w:after="0" w:line="11" w:lineRule="exact"/>
        <w:rPr>
          <w:sz w:val="24"/>
          <w:szCs w:val="24"/>
          <w:color w:val="auto"/>
        </w:rPr>
      </w:pPr>
    </w:p>
    <w:p>
      <w:pPr>
        <w:ind w:left="4380"/>
        <w:spacing w:after="0"/>
        <w:rPr>
          <w:sz w:val="20"/>
          <w:szCs w:val="20"/>
          <w:color w:val="auto"/>
        </w:rPr>
      </w:pPr>
      <w:r>
        <w:rPr>
          <w:rFonts w:ascii="Arial" w:cs="Arial" w:eastAsia="Arial" w:hAnsi="Arial"/>
          <w:sz w:val="16"/>
          <w:szCs w:val="16"/>
          <w:b w:val="1"/>
          <w:bCs w:val="1"/>
          <w:color w:val="auto"/>
        </w:rPr>
        <w:t>Pursuant to Rule 13a-16 or 15d-16 of</w:t>
      </w:r>
    </w:p>
    <w:p>
      <w:pPr>
        <w:ind w:left="44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46" w:lineRule="exact"/>
        <w:rPr>
          <w:sz w:val="24"/>
          <w:szCs w:val="24"/>
          <w:color w:val="auto"/>
        </w:rPr>
      </w:pPr>
    </w:p>
    <w:p>
      <w:pPr>
        <w:jc w:val="center"/>
        <w:ind w:right="-1140"/>
        <w:spacing w:after="0"/>
        <w:rPr>
          <w:sz w:val="20"/>
          <w:szCs w:val="20"/>
          <w:color w:val="auto"/>
        </w:rPr>
      </w:pPr>
      <w:r>
        <w:rPr>
          <w:rFonts w:ascii="Arial" w:cs="Arial" w:eastAsia="Arial" w:hAnsi="Arial"/>
          <w:sz w:val="13"/>
          <w:szCs w:val="13"/>
          <w:b w:val="1"/>
          <w:bCs w:val="1"/>
          <w:color w:val="auto"/>
        </w:rPr>
        <w:t>For the month of July 2021</w:t>
      </w:r>
    </w:p>
    <w:p>
      <w:pPr>
        <w:spacing w:after="0" w:line="171" w:lineRule="exact"/>
        <w:rPr>
          <w:sz w:val="24"/>
          <w:szCs w:val="24"/>
          <w:color w:val="auto"/>
        </w:rPr>
      </w:pPr>
    </w:p>
    <w:p>
      <w:pPr>
        <w:jc w:val="center"/>
        <w:ind w:right="-1140"/>
        <w:spacing w:after="0"/>
        <w:rPr>
          <w:sz w:val="20"/>
          <w:szCs w:val="20"/>
          <w:color w:val="auto"/>
        </w:rPr>
      </w:pPr>
      <w:r>
        <w:rPr>
          <w:rFonts w:ascii="Arial" w:cs="Arial" w:eastAsia="Arial" w:hAnsi="Arial"/>
          <w:sz w:val="13"/>
          <w:szCs w:val="13"/>
          <w:b w:val="1"/>
          <w:bCs w:val="1"/>
          <w:color w:val="auto"/>
        </w:rPr>
        <w:t>Commission File Number: 001-36622</w:t>
      </w:r>
    </w:p>
    <w:p>
      <w:pPr>
        <w:spacing w:after="0" w:line="152" w:lineRule="exact"/>
        <w:rPr>
          <w:sz w:val="24"/>
          <w:szCs w:val="24"/>
          <w:color w:val="auto"/>
        </w:rPr>
      </w:pPr>
    </w:p>
    <w:p>
      <w:pPr>
        <w:jc w:val="center"/>
        <w:ind w:right="-1140"/>
        <w:spacing w:after="0"/>
        <w:rPr>
          <w:sz w:val="20"/>
          <w:szCs w:val="20"/>
          <w:color w:val="auto"/>
        </w:rPr>
      </w:pPr>
      <w:r>
        <w:rPr>
          <w:rFonts w:ascii="Arial" w:cs="Arial" w:eastAsia="Arial" w:hAnsi="Arial"/>
          <w:sz w:val="24"/>
          <w:szCs w:val="24"/>
          <w:b w:val="1"/>
          <w:bCs w:val="1"/>
          <w:color w:val="auto"/>
        </w:rPr>
        <w:t>PROQR THERAPEUTICS N.V.</w:t>
      </w:r>
    </w:p>
    <w:p>
      <w:pPr>
        <w:spacing w:after="0" w:line="174" w:lineRule="exact"/>
        <w:rPr>
          <w:sz w:val="24"/>
          <w:szCs w:val="24"/>
          <w:color w:val="auto"/>
        </w:rPr>
      </w:pPr>
    </w:p>
    <w:p>
      <w:pPr>
        <w:jc w:val="center"/>
        <w:ind w:right="-1140"/>
        <w:spacing w:after="0"/>
        <w:rPr>
          <w:sz w:val="20"/>
          <w:szCs w:val="20"/>
          <w:color w:val="auto"/>
        </w:rPr>
      </w:pPr>
      <w:r>
        <w:rPr>
          <w:rFonts w:ascii="Arial" w:cs="Arial" w:eastAsia="Arial" w:hAnsi="Arial"/>
          <w:sz w:val="13"/>
          <w:szCs w:val="13"/>
          <w:b w:val="1"/>
          <w:bCs w:val="1"/>
          <w:color w:val="auto"/>
        </w:rPr>
        <w:t>Zernikedreef 9</w:t>
      </w:r>
    </w:p>
    <w:p>
      <w:pPr>
        <w:spacing w:after="0" w:line="23" w:lineRule="exact"/>
        <w:rPr>
          <w:sz w:val="24"/>
          <w:szCs w:val="24"/>
          <w:color w:val="auto"/>
        </w:rPr>
      </w:pPr>
    </w:p>
    <w:p>
      <w:pPr>
        <w:jc w:val="center"/>
        <w:ind w:right="-1140"/>
        <w:spacing w:after="0"/>
        <w:rPr>
          <w:sz w:val="20"/>
          <w:szCs w:val="20"/>
          <w:color w:val="auto"/>
        </w:rPr>
      </w:pPr>
      <w:r>
        <w:rPr>
          <w:rFonts w:ascii="Arial" w:cs="Arial" w:eastAsia="Arial" w:hAnsi="Arial"/>
          <w:sz w:val="13"/>
          <w:szCs w:val="13"/>
          <w:b w:val="1"/>
          <w:bCs w:val="1"/>
          <w:color w:val="auto"/>
        </w:rPr>
        <w:t>2333 CK Leiden</w:t>
      </w:r>
    </w:p>
    <w:p>
      <w:pPr>
        <w:spacing w:after="0" w:line="11" w:lineRule="exact"/>
        <w:rPr>
          <w:sz w:val="24"/>
          <w:szCs w:val="24"/>
          <w:color w:val="auto"/>
        </w:rPr>
      </w:pPr>
    </w:p>
    <w:p>
      <w:pPr>
        <w:jc w:val="center"/>
        <w:ind w:right="-1140"/>
        <w:spacing w:after="0"/>
        <w:rPr>
          <w:sz w:val="20"/>
          <w:szCs w:val="20"/>
          <w:color w:val="auto"/>
        </w:rPr>
      </w:pPr>
      <w:r>
        <w:rPr>
          <w:rFonts w:ascii="Arial" w:cs="Arial" w:eastAsia="Arial" w:hAnsi="Arial"/>
          <w:sz w:val="13"/>
          <w:szCs w:val="13"/>
          <w:b w:val="1"/>
          <w:bCs w:val="1"/>
          <w:color w:val="auto"/>
        </w:rPr>
        <w:t>The Netherlands</w:t>
      </w:r>
    </w:p>
    <w:p>
      <w:pPr>
        <w:spacing w:after="0" w:line="11" w:lineRule="exact"/>
        <w:rPr>
          <w:sz w:val="24"/>
          <w:szCs w:val="24"/>
          <w:color w:val="auto"/>
        </w:rPr>
      </w:pPr>
    </w:p>
    <w:p>
      <w:pPr>
        <w:jc w:val="center"/>
        <w:ind w:right="-1140"/>
        <w:spacing w:after="0"/>
        <w:rPr>
          <w:sz w:val="20"/>
          <w:szCs w:val="20"/>
          <w:color w:val="auto"/>
        </w:rPr>
      </w:pPr>
      <w:r>
        <w:rPr>
          <w:rFonts w:ascii="Arial" w:cs="Arial" w:eastAsia="Arial" w:hAnsi="Arial"/>
          <w:sz w:val="13"/>
          <w:szCs w:val="13"/>
          <w:b w:val="1"/>
          <w:bCs w:val="1"/>
          <w:color w:val="auto"/>
        </w:rPr>
        <w:t>Tel: +31 88 166 7000</w:t>
      </w:r>
    </w:p>
    <w:p>
      <w:pPr>
        <w:spacing w:after="0" w:line="11" w:lineRule="exact"/>
        <w:rPr>
          <w:sz w:val="24"/>
          <w:szCs w:val="24"/>
          <w:color w:val="auto"/>
        </w:rPr>
      </w:pPr>
    </w:p>
    <w:p>
      <w:pPr>
        <w:jc w:val="center"/>
        <w:ind w:right="-1140"/>
        <w:spacing w:after="0"/>
        <w:rPr>
          <w:sz w:val="20"/>
          <w:szCs w:val="20"/>
          <w:color w:val="auto"/>
        </w:rPr>
      </w:pPr>
      <w:r>
        <w:rPr>
          <w:rFonts w:ascii="Arial" w:cs="Arial" w:eastAsia="Arial" w:hAnsi="Arial"/>
          <w:sz w:val="13"/>
          <w:szCs w:val="13"/>
          <w:color w:val="auto"/>
        </w:rPr>
        <w:t>(Address, Including Zip Code, and Telephone Number,</w:t>
      </w:r>
    </w:p>
    <w:p>
      <w:pPr>
        <w:spacing w:after="0" w:line="11" w:lineRule="exact"/>
        <w:rPr>
          <w:sz w:val="24"/>
          <w:szCs w:val="24"/>
          <w:color w:val="auto"/>
        </w:rPr>
      </w:pPr>
    </w:p>
    <w:p>
      <w:pPr>
        <w:jc w:val="center"/>
        <w:ind w:right="-1140"/>
        <w:spacing w:after="0"/>
        <w:rPr>
          <w:sz w:val="20"/>
          <w:szCs w:val="20"/>
          <w:color w:val="auto"/>
        </w:rPr>
      </w:pPr>
      <w:r>
        <w:rPr>
          <w:rFonts w:ascii="Arial" w:cs="Arial" w:eastAsia="Arial" w:hAnsi="Arial"/>
          <w:sz w:val="13"/>
          <w:szCs w:val="13"/>
          <w:color w:val="auto"/>
        </w:rPr>
        <w:t>Including Area Code, of Registrant’s Principal Executive Offices)</w:t>
      </w:r>
    </w:p>
    <w:p>
      <w:pPr>
        <w:spacing w:after="0" w:line="160" w:lineRule="exact"/>
        <w:rPr>
          <w:sz w:val="24"/>
          <w:szCs w:val="24"/>
          <w:color w:val="auto"/>
        </w:rPr>
      </w:pPr>
    </w:p>
    <w:p>
      <w:pPr>
        <w:ind w:left="4900" w:right="3779" w:hanging="4901"/>
        <w:spacing w:after="0" w:line="557" w:lineRule="auto"/>
        <w:rPr>
          <w:sz w:val="20"/>
          <w:szCs w:val="20"/>
          <w:color w:val="auto"/>
        </w:rPr>
      </w:pPr>
      <w:r>
        <w:rPr>
          <w:rFonts w:ascii="Arial" w:cs="Arial" w:eastAsia="Arial" w:hAnsi="Arial"/>
          <w:sz w:val="12"/>
          <w:szCs w:val="12"/>
          <w:color w:val="auto"/>
        </w:rPr>
        <w:t>Indicate by check mark whether the registrant files or will file annual reports under cover of Form 20-F or Form 40-F. Form 20-F x Form 40-F o</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submitting the Form 6-K in paper as permitted by Regulation S-T Rule 101(b)(1): o</w:t>
      </w:r>
    </w:p>
    <w:p>
      <w:pPr>
        <w:spacing w:after="0" w:line="17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678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788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147320</wp:posOffset>
            </wp:positionV>
            <wp:extent cx="716788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880"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321945</wp:posOffset>
            </wp:positionV>
            <wp:extent cx="718693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25400"/>
                    </a:xfrm>
                    <a:prstGeom prst="rect">
                      <a:avLst/>
                    </a:prstGeom>
                    <a:noFill/>
                  </pic:spPr>
                </pic:pic>
              </a:graphicData>
            </a:graphic>
          </wp:anchor>
        </w:drawing>
      </w:r>
    </w:p>
    <w:p>
      <w:pPr>
        <w:sectPr>
          <w:pgSz w:w="11900" w:h="16838" w:orient="portrait"/>
          <w:cols w:equalWidth="0" w:num="1">
            <w:col w:w="10159"/>
          </w:cols>
          <w:pgMar w:left="300" w:top="438" w:right="1440"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u w:val="single" w:color="auto"/>
          <w:color w:val="auto"/>
        </w:rPr>
        <w:t>Amendments to Articles of Association</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3"/>
          <w:szCs w:val="13"/>
          <w:i w:val="1"/>
          <w:iCs w:val="1"/>
          <w:color w:val="auto"/>
        </w:rPr>
        <w:t>First Amendment</w:t>
      </w:r>
    </w:p>
    <w:p>
      <w:pPr>
        <w:spacing w:after="0" w:line="171" w:lineRule="exact"/>
        <w:rPr>
          <w:sz w:val="20"/>
          <w:szCs w:val="20"/>
          <w:color w:val="auto"/>
        </w:rPr>
      </w:pPr>
    </w:p>
    <w:p>
      <w:pPr>
        <w:ind w:right="140" w:firstLine="481"/>
        <w:spacing w:after="0" w:line="307" w:lineRule="auto"/>
        <w:rPr>
          <w:sz w:val="20"/>
          <w:szCs w:val="20"/>
          <w:color w:val="auto"/>
        </w:rPr>
      </w:pPr>
      <w:r>
        <w:rPr>
          <w:rFonts w:ascii="Arial" w:cs="Arial" w:eastAsia="Arial" w:hAnsi="Arial"/>
          <w:sz w:val="12"/>
          <w:szCs w:val="12"/>
          <w:color w:val="auto"/>
        </w:rPr>
        <w:t>As previously reported, at the 2021 annual general meeting of shareholders of ProQR Therapeutics N.V. (the “Company”) held on May 19, 2021 (the “2021 Annual General Meeting”), the Company’s shareholders approved the first amendment to the Articles of Association of the Company to combine the existing compensation committee and nominating and corporate governance committee into one committee, to be named the compensation, nominating and corporate governance committee, and to establish a new research and development committee (the “First Amendment”).</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3"/>
          <w:szCs w:val="13"/>
          <w:i w:val="1"/>
          <w:iCs w:val="1"/>
          <w:color w:val="auto"/>
        </w:rPr>
        <w:t>Second Amendment</w:t>
      </w:r>
    </w:p>
    <w:p>
      <w:pPr>
        <w:spacing w:after="0" w:line="171" w:lineRule="exact"/>
        <w:rPr>
          <w:sz w:val="20"/>
          <w:szCs w:val="20"/>
          <w:color w:val="auto"/>
        </w:rPr>
      </w:pPr>
    </w:p>
    <w:p>
      <w:pPr>
        <w:ind w:right="400" w:firstLine="481"/>
        <w:spacing w:after="0" w:line="274" w:lineRule="auto"/>
        <w:rPr>
          <w:sz w:val="20"/>
          <w:szCs w:val="20"/>
          <w:color w:val="auto"/>
        </w:rPr>
      </w:pPr>
      <w:r>
        <w:rPr>
          <w:rFonts w:ascii="Arial" w:cs="Arial" w:eastAsia="Arial" w:hAnsi="Arial"/>
          <w:sz w:val="13"/>
          <w:szCs w:val="13"/>
          <w:color w:val="auto"/>
        </w:rPr>
        <w:t>At the 2021 Annual General Meeting, the Company’s shareholders also approved the second amendment to the Articles of Association of the Company to increase the authorized share capital for ordinary shares from 90,000,000 ordinary shares to 170,000,000 ordinary shares (the “Second Amendment” and together with the First Amendment, the “Amendments”). The additional ordinary shares authorized by the Second Amendment has rights identical to the Company’s currently outstanding ordinary shares.</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Amendments were each evidenced by an executed notarial deed of amendment of the Company’s Articles of Association and became effective as of June 10, 2021.</w:t>
      </w:r>
    </w:p>
    <w:p>
      <w:pPr>
        <w:spacing w:after="0" w:line="171" w:lineRule="exact"/>
        <w:rPr>
          <w:sz w:val="20"/>
          <w:szCs w:val="20"/>
          <w:color w:val="auto"/>
        </w:rPr>
      </w:pPr>
    </w:p>
    <w:p>
      <w:pPr>
        <w:ind w:firstLine="481"/>
        <w:spacing w:after="0" w:line="291" w:lineRule="auto"/>
        <w:rPr>
          <w:sz w:val="20"/>
          <w:szCs w:val="20"/>
          <w:color w:val="auto"/>
        </w:rPr>
      </w:pPr>
      <w:r>
        <w:rPr>
          <w:rFonts w:ascii="Arial" w:cs="Arial" w:eastAsia="Arial" w:hAnsi="Arial"/>
          <w:sz w:val="13"/>
          <w:szCs w:val="13"/>
          <w:color w:val="auto"/>
        </w:rPr>
        <w:t>The foregoing summary of the Amendments is qualified in its entirety by reference to the full text of the Company’s Articles of Association, as amended (the “Amended Articles of Association”), a copy of which is attached hereto as Exhibit 1.1 to this Report of Foreign Private Issuer on Form 6-K and is incorporated herein by reference.</w:t>
      </w:r>
    </w:p>
    <w:p>
      <w:pPr>
        <w:spacing w:after="0" w:line="118"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The Company hereby incorporates by reference the information contained herein into the Company’s registration statements on Form F-3 (File No. 333-228251 and File No. 333-248740).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18693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2540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3"/>
          <w:szCs w:val="13"/>
          <w:b w:val="1"/>
          <w:bCs w:val="1"/>
          <w:color w:val="auto"/>
        </w:rPr>
        <w:t>SIGNATURES</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7980" w:type="dxa"/>
            <w:vAlign w:val="bottom"/>
            <w:gridSpan w:val="2"/>
          </w:tcPr>
          <w:p>
            <w:pPr>
              <w:ind w:left="2340"/>
              <w:spacing w:after="0"/>
              <w:rPr>
                <w:sz w:val="20"/>
                <w:szCs w:val="20"/>
                <w:color w:val="auto"/>
              </w:rPr>
            </w:pPr>
            <w:r>
              <w:rPr>
                <w:rFonts w:ascii="Arial" w:cs="Arial" w:eastAsia="Arial" w:hAnsi="Arial"/>
                <w:sz w:val="13"/>
                <w:szCs w:val="13"/>
                <w:b w:val="1"/>
                <w:bCs w:val="1"/>
                <w:color w:val="auto"/>
              </w:rPr>
              <w:t>PROQR THERAPEUTICS N.V.</w:t>
            </w:r>
          </w:p>
        </w:tc>
        <w:tc>
          <w:tcPr>
            <w:tcW w:w="40" w:type="dxa"/>
            <w:vAlign w:val="bottom"/>
          </w:tcPr>
          <w:p>
            <w:pPr>
              <w:spacing w:after="0"/>
              <w:rPr>
                <w:sz w:val="15"/>
                <w:szCs w:val="15"/>
                <w:color w:val="auto"/>
              </w:rPr>
            </w:pPr>
          </w:p>
        </w:tc>
      </w:tr>
      <w:tr>
        <w:trPr>
          <w:trHeight w:val="321"/>
        </w:trPr>
        <w:tc>
          <w:tcPr>
            <w:tcW w:w="3300" w:type="dxa"/>
            <w:vAlign w:val="bottom"/>
          </w:tcPr>
          <w:p>
            <w:pPr>
              <w:spacing w:after="0"/>
              <w:rPr>
                <w:sz w:val="20"/>
                <w:szCs w:val="20"/>
                <w:color w:val="auto"/>
              </w:rPr>
            </w:pPr>
            <w:r>
              <w:rPr>
                <w:rFonts w:ascii="Arial" w:cs="Arial" w:eastAsia="Arial" w:hAnsi="Arial"/>
                <w:sz w:val="13"/>
                <w:szCs w:val="13"/>
                <w:color w:val="auto"/>
              </w:rPr>
              <w:t>Date: July 8, 2021</w:t>
            </w:r>
          </w:p>
        </w:tc>
        <w:tc>
          <w:tcPr>
            <w:tcW w:w="2820" w:type="dxa"/>
            <w:vAlign w:val="bottom"/>
          </w:tcPr>
          <w:p>
            <w:pPr>
              <w:ind w:left="2340"/>
              <w:spacing w:after="0"/>
              <w:rPr>
                <w:sz w:val="20"/>
                <w:szCs w:val="20"/>
                <w:color w:val="auto"/>
              </w:rPr>
            </w:pPr>
            <w:r>
              <w:rPr>
                <w:rFonts w:ascii="Arial" w:cs="Arial" w:eastAsia="Arial" w:hAnsi="Arial"/>
                <w:sz w:val="13"/>
                <w:szCs w:val="13"/>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Smital Shah</w:t>
            </w:r>
          </w:p>
        </w:tc>
        <w:tc>
          <w:tcPr>
            <w:tcW w:w="40" w:type="dxa"/>
            <w:vAlign w:val="bottom"/>
          </w:tcPr>
          <w:p>
            <w:pPr>
              <w:spacing w:after="0"/>
              <w:rPr>
                <w:sz w:val="24"/>
                <w:szCs w:val="24"/>
                <w:color w:val="auto"/>
              </w:rPr>
            </w:pPr>
          </w:p>
        </w:tc>
      </w:tr>
      <w:tr>
        <w:trPr>
          <w:trHeight w:val="140"/>
        </w:trPr>
        <w:tc>
          <w:tcPr>
            <w:tcW w:w="33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160" w:type="dxa"/>
            <w:vAlign w:val="bottom"/>
          </w:tcPr>
          <w:p>
            <w:pPr>
              <w:spacing w:after="0" w:line="140" w:lineRule="exact"/>
              <w:rPr>
                <w:sz w:val="20"/>
                <w:szCs w:val="20"/>
                <w:color w:val="auto"/>
              </w:rPr>
            </w:pPr>
            <w:r>
              <w:rPr>
                <w:rFonts w:ascii="Arial" w:cs="Arial" w:eastAsia="Arial" w:hAnsi="Arial"/>
                <w:sz w:val="13"/>
                <w:szCs w:val="13"/>
                <w:color w:val="auto"/>
              </w:rPr>
              <w:t>Smital Shah</w:t>
            </w:r>
          </w:p>
        </w:tc>
        <w:tc>
          <w:tcPr>
            <w:tcW w:w="40" w:type="dxa"/>
            <w:vAlign w:val="bottom"/>
          </w:tcPr>
          <w:p>
            <w:pPr>
              <w:spacing w:after="0"/>
              <w:rPr>
                <w:sz w:val="12"/>
                <w:szCs w:val="12"/>
                <w:color w:val="auto"/>
              </w:rPr>
            </w:pPr>
          </w:p>
        </w:tc>
      </w:tr>
      <w:tr>
        <w:trPr>
          <w:trHeight w:val="171"/>
        </w:trPr>
        <w:tc>
          <w:tcPr>
            <w:tcW w:w="3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Arial" w:cs="Arial" w:eastAsia="Arial" w:hAnsi="Arial"/>
                <w:sz w:val="13"/>
                <w:szCs w:val="13"/>
                <w:color w:val="auto"/>
              </w:rPr>
              <w:t>Chief Financial Officer</w:t>
            </w:r>
          </w:p>
        </w:tc>
        <w:tc>
          <w:tcPr>
            <w:tcW w:w="40" w:type="dxa"/>
            <w:vAlign w:val="bottom"/>
          </w:tcPr>
          <w:p>
            <w:pPr>
              <w:spacing w:after="0"/>
              <w:rPr>
                <w:sz w:val="14"/>
                <w:szCs w:val="14"/>
                <w:color w:val="auto"/>
              </w:rPr>
            </w:pPr>
          </w:p>
        </w:tc>
      </w:tr>
      <w:tr>
        <w:trPr>
          <w:trHeight w:val="321"/>
        </w:trPr>
        <w:tc>
          <w:tcPr>
            <w:tcW w:w="3300" w:type="dxa"/>
            <w:vAlign w:val="bottom"/>
          </w:tcPr>
          <w:p>
            <w:pPr>
              <w:spacing w:after="0"/>
              <w:rPr>
                <w:sz w:val="24"/>
                <w:szCs w:val="24"/>
                <w:color w:val="auto"/>
              </w:rPr>
            </w:pPr>
          </w:p>
        </w:tc>
        <w:tc>
          <w:tcPr>
            <w:tcW w:w="2820" w:type="dxa"/>
            <w:vAlign w:val="bottom"/>
          </w:tcPr>
          <w:p>
            <w:pPr>
              <w:jc w:val="right"/>
              <w:ind w:right="373"/>
              <w:spacing w:after="0"/>
              <w:rPr>
                <w:sz w:val="20"/>
                <w:szCs w:val="20"/>
                <w:color w:val="auto"/>
              </w:rPr>
            </w:pPr>
            <w:r>
              <w:rPr>
                <w:rFonts w:ascii="Arial" w:cs="Arial" w:eastAsia="Arial" w:hAnsi="Arial"/>
                <w:sz w:val="13"/>
                <w:szCs w:val="13"/>
                <w:color w:val="auto"/>
              </w:rPr>
              <w:t>3</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5"/>
        </w:trPr>
        <w:tc>
          <w:tcPr>
            <w:tcW w:w="330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51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7171055</wp:posOffset>
            </wp:positionH>
            <wp:positionV relativeFrom="paragraph">
              <wp:posOffset>-24765</wp:posOffset>
            </wp:positionV>
            <wp:extent cx="1270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-24765</wp:posOffset>
            </wp:positionV>
            <wp:extent cx="1270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5400"/>
                    </a:xfrm>
                    <a:prstGeom prst="rect">
                      <a:avLst/>
                    </a:prstGeom>
                    <a:noFill/>
                  </pic:spPr>
                </pic:pic>
              </a:graphicData>
            </a:graphic>
          </wp:anchor>
        </w:drawing>
      </w:r>
    </w:p>
    <w:p>
      <w:pPr>
        <w:sectPr>
          <w:pgSz w:w="11900" w:h="16838" w:orient="portrait"/>
          <w:cols w:equalWidth="0" w:num="1">
            <w:col w:w="11320"/>
          </w:cols>
          <w:pgMar w:left="300" w:top="287"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40" w:type="dxa"/>
            <w:vAlign w:val="bottom"/>
          </w:tcPr>
          <w:p>
            <w:pPr>
              <w:jc w:val="center"/>
              <w:ind w:right="1057"/>
              <w:spacing w:after="0"/>
              <w:rPr>
                <w:sz w:val="20"/>
                <w:szCs w:val="20"/>
                <w:color w:val="auto"/>
              </w:rPr>
            </w:pPr>
            <w:r>
              <w:rPr>
                <w:rFonts w:ascii="Arial" w:cs="Arial" w:eastAsia="Arial" w:hAnsi="Arial"/>
                <w:sz w:val="13"/>
                <w:szCs w:val="13"/>
                <w:b w:val="1"/>
                <w:bCs w:val="1"/>
                <w:color w:val="auto"/>
              </w:rPr>
              <w:t>INDEX TO EXHIBITS</w:t>
            </w:r>
          </w:p>
        </w:tc>
        <w:tc>
          <w:tcPr>
            <w:tcW w:w="40" w:type="dxa"/>
            <w:vAlign w:val="bottom"/>
          </w:tcPr>
          <w:p>
            <w:pPr>
              <w:spacing w:after="0"/>
              <w:rPr>
                <w:sz w:val="15"/>
                <w:szCs w:val="15"/>
                <w:color w:val="auto"/>
              </w:rPr>
            </w:pPr>
          </w:p>
        </w:tc>
      </w:tr>
      <w:tr>
        <w:trPr>
          <w:trHeight w:val="270"/>
        </w:trPr>
        <w:tc>
          <w:tcPr>
            <w:tcW w:w="11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10140" w:type="dxa"/>
            <w:vAlign w:val="bottom"/>
          </w:tcPr>
          <w:p>
            <w:pPr>
              <w:ind w:left="4800"/>
              <w:spacing w:after="0"/>
              <w:rPr>
                <w:sz w:val="20"/>
                <w:szCs w:val="20"/>
                <w:color w:val="auto"/>
              </w:rPr>
            </w:pPr>
            <w:r>
              <w:rPr>
                <w:rFonts w:ascii="Arial" w:cs="Arial" w:eastAsia="Arial" w:hAnsi="Arial"/>
                <w:sz w:val="11"/>
                <w:szCs w:val="11"/>
                <w:b w:val="1"/>
                <w:bCs w:val="1"/>
                <w:color w:val="auto"/>
              </w:rPr>
              <w:t>Description</w:t>
            </w:r>
          </w:p>
        </w:tc>
        <w:tc>
          <w:tcPr>
            <w:tcW w:w="40" w:type="dxa"/>
            <w:vAlign w:val="bottom"/>
          </w:tcPr>
          <w:p>
            <w:pPr>
              <w:spacing w:after="0"/>
              <w:rPr>
                <w:sz w:val="23"/>
                <w:szCs w:val="23"/>
                <w:color w:val="auto"/>
              </w:rPr>
            </w:pPr>
          </w:p>
        </w:tc>
      </w:tr>
      <w:tr>
        <w:trPr>
          <w:trHeight w:val="310"/>
        </w:trPr>
        <w:tc>
          <w:tcPr>
            <w:tcW w:w="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1.1</w:t>
            </w:r>
          </w:p>
        </w:tc>
        <w:tc>
          <w:tcPr>
            <w:tcW w:w="220" w:type="dxa"/>
            <w:vAlign w:val="bottom"/>
          </w:tcPr>
          <w:p>
            <w:pPr>
              <w:spacing w:after="0"/>
              <w:rPr>
                <w:sz w:val="24"/>
                <w:szCs w:val="24"/>
                <w:color w:val="auto"/>
              </w:rPr>
            </w:pPr>
          </w:p>
        </w:tc>
        <w:tc>
          <w:tcPr>
            <w:tcW w:w="101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Amended Articles of Association of the Company effective as of June 10, 2021</w:t>
            </w:r>
          </w:p>
        </w:tc>
        <w:tc>
          <w:tcPr>
            <w:tcW w:w="40" w:type="dxa"/>
            <w:vAlign w:val="bottom"/>
          </w:tcPr>
          <w:p>
            <w:pPr>
              <w:spacing w:after="0"/>
              <w:rPr>
                <w:sz w:val="24"/>
                <w:szCs w:val="24"/>
                <w:color w:val="auto"/>
              </w:rPr>
            </w:pPr>
          </w:p>
        </w:tc>
      </w:tr>
      <w:tr>
        <w:trPr>
          <w:trHeight w:val="321"/>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40" w:type="dxa"/>
            <w:vAlign w:val="bottom"/>
          </w:tcPr>
          <w:p>
            <w:pPr>
              <w:jc w:val="right"/>
              <w:ind w:right="5537"/>
              <w:spacing w:after="0"/>
              <w:rPr>
                <w:sz w:val="20"/>
                <w:szCs w:val="20"/>
                <w:color w:val="auto"/>
              </w:rPr>
            </w:pPr>
            <w:r>
              <w:rPr>
                <w:rFonts w:ascii="Arial" w:cs="Arial" w:eastAsia="Arial" w:hAnsi="Arial"/>
                <w:sz w:val="13"/>
                <w:szCs w:val="13"/>
                <w:color w:val="auto"/>
              </w:rPr>
              <w:t>4</w:t>
            </w:r>
          </w:p>
        </w:tc>
        <w:tc>
          <w:tcPr>
            <w:tcW w:w="40" w:type="dxa"/>
            <w:vAlign w:val="bottom"/>
          </w:tcPr>
          <w:p>
            <w:pPr>
              <w:spacing w:after="0"/>
              <w:rPr>
                <w:sz w:val="24"/>
                <w:szCs w:val="24"/>
                <w:color w:val="auto"/>
              </w:rPr>
            </w:pPr>
          </w:p>
        </w:tc>
      </w:tr>
      <w:tr>
        <w:trPr>
          <w:trHeight w:val="95"/>
        </w:trPr>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7171055</wp:posOffset>
            </wp:positionH>
            <wp:positionV relativeFrom="paragraph">
              <wp:posOffset>-24765</wp:posOffset>
            </wp:positionV>
            <wp:extent cx="1270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-24765</wp:posOffset>
            </wp:positionV>
            <wp:extent cx="1270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5400"/>
                    </a:xfrm>
                    <a:prstGeom prst="rect">
                      <a:avLst/>
                    </a:prstGeom>
                    <a:noFill/>
                  </pic:spPr>
                </pic:pic>
              </a:graphicData>
            </a:graphic>
          </wp:anchor>
        </w:drawing>
      </w:r>
    </w:p>
    <w:p>
      <w:pPr>
        <w:sectPr>
          <w:pgSz w:w="11900" w:h="16838" w:orient="portrait"/>
          <w:cols w:equalWidth="0" w:num="1">
            <w:col w:w="11320"/>
          </w:cols>
          <w:pgMar w:left="300" w:top="287" w:right="279" w:bottom="1440" w:gutter="0" w:footer="0" w:header="0"/>
        </w:sectPr>
      </w:pPr>
    </w:p>
    <w:bookmarkStart w:id="4" w:name="page5"/>
    <w:bookmarkEnd w:id="4"/>
    <w:p>
      <w:pPr>
        <w:ind w:left="9520"/>
        <w:spacing w:after="0"/>
        <w:rPr>
          <w:sz w:val="20"/>
          <w:szCs w:val="20"/>
          <w:color w:val="auto"/>
        </w:rPr>
      </w:pPr>
      <w:r>
        <w:rPr>
          <w:rFonts w:ascii="Arial" w:cs="Arial" w:eastAsia="Arial" w:hAnsi="Arial"/>
          <w:sz w:val="12"/>
          <w:szCs w:val="12"/>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28575</wp:posOffset>
            </wp:positionV>
            <wp:extent cx="7213600" cy="10407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3600" cy="10407650"/>
                    </a:xfrm>
                    <a:prstGeom prst="rect">
                      <a:avLst/>
                    </a:prstGeom>
                    <a:noFill/>
                  </pic:spPr>
                </pic:pic>
              </a:graphicData>
            </a:graphic>
          </wp:anchor>
        </w:drawing>
      </w:r>
    </w:p>
    <w:p>
      <w:pPr>
        <w:sectPr>
          <w:pgSz w:w="11900" w:h="16838" w:orient="portrait"/>
          <w:cols w:equalWidth="0" w:num="1">
            <w:col w:w="10140"/>
          </w:cols>
          <w:pgMar w:left="1440" w:top="127"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807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13600" cy="807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95250</wp:posOffset>
            </wp:positionV>
            <wp:extent cx="7213600" cy="105092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213600" cy="1050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213600" cy="7061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213600" cy="7061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2021-07-08T15:43:08Z</dcterms:created>
  <dcterms:modified xsi:type="dcterms:W3CDTF">2021-07-08T15:43:08Z</dcterms:modified>
</cp:coreProperties>
</file>